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382E4" w14:textId="6916B597" w:rsidR="00556C06" w:rsidRPr="00CF4942" w:rsidRDefault="00556C06" w:rsidP="00556C06">
      <w:pPr>
        <w:tabs>
          <w:tab w:val="center" w:pos="4513"/>
        </w:tabs>
        <w:suppressAutoHyphens/>
        <w:rPr>
          <w:bCs/>
          <w:spacing w:val="-3"/>
          <w:szCs w:val="24"/>
          <w:highlight w:val="yellow"/>
          <w:u w:val="single"/>
        </w:rPr>
      </w:pPr>
      <w:r w:rsidRPr="00CF4942">
        <w:rPr>
          <w:bCs/>
          <w:spacing w:val="-4"/>
          <w:szCs w:val="24"/>
          <w:u w:val="single"/>
        </w:rPr>
        <w:t xml:space="preserve">IN THE HIGH COURT OF JUSTICE </w:t>
      </w:r>
      <w:r w:rsidRPr="00CF4942">
        <w:rPr>
          <w:bCs/>
          <w:spacing w:val="-4"/>
          <w:szCs w:val="24"/>
        </w:rPr>
        <w:tab/>
      </w:r>
      <w:r w:rsidRPr="00CF4942">
        <w:rPr>
          <w:bCs/>
          <w:spacing w:val="-4"/>
          <w:szCs w:val="24"/>
        </w:rPr>
        <w:tab/>
      </w:r>
      <w:r w:rsidRPr="00CF4942">
        <w:rPr>
          <w:bCs/>
          <w:spacing w:val="-4"/>
          <w:szCs w:val="24"/>
          <w:u w:val="single"/>
        </w:rPr>
        <w:t xml:space="preserve">   </w:t>
      </w:r>
      <w:r w:rsidRPr="00CF4942">
        <w:rPr>
          <w:bCs/>
          <w:spacing w:val="-3"/>
          <w:szCs w:val="24"/>
          <w:u w:val="single"/>
        </w:rPr>
        <w:t>Claim No</w:t>
      </w:r>
      <w:r w:rsidR="00DE3101">
        <w:rPr>
          <w:bCs/>
          <w:spacing w:val="-3"/>
          <w:szCs w:val="24"/>
          <w:u w:val="single"/>
        </w:rPr>
        <w:t>.</w:t>
      </w:r>
      <w:r w:rsidRPr="00CF4942">
        <w:rPr>
          <w:bCs/>
          <w:spacing w:val="-3"/>
          <w:szCs w:val="24"/>
          <w:u w:val="single"/>
        </w:rPr>
        <w:t xml:space="preserve"> </w:t>
      </w:r>
      <w:r w:rsidRPr="00CF4942">
        <w:rPr>
          <w:rStyle w:val="ct-content"/>
          <w:bCs/>
          <w:szCs w:val="24"/>
          <w:u w:val="single"/>
        </w:rPr>
        <w:t>QB-202X-</w:t>
      </w:r>
      <w:r w:rsidR="00DE3101">
        <w:rPr>
          <w:rStyle w:val="ct-content"/>
          <w:bCs/>
          <w:szCs w:val="24"/>
          <w:u w:val="single"/>
        </w:rPr>
        <w:t>XXXXXX</w:t>
      </w:r>
      <w:r w:rsidRPr="00CF4942">
        <w:rPr>
          <w:bCs/>
          <w:spacing w:val="-3"/>
          <w:szCs w:val="24"/>
          <w:highlight w:val="yellow"/>
          <w:u w:val="single"/>
        </w:rPr>
        <w:fldChar w:fldCharType="begin"/>
      </w:r>
      <w:r w:rsidRPr="00CF4942">
        <w:rPr>
          <w:bCs/>
          <w:spacing w:val="-3"/>
          <w:szCs w:val="24"/>
          <w:highlight w:val="yellow"/>
          <w:u w:val="single"/>
        </w:rPr>
        <w:instrText xml:space="preserve">PRIVATE </w:instrText>
      </w:r>
      <w:r w:rsidRPr="00CF4942">
        <w:rPr>
          <w:bCs/>
          <w:spacing w:val="-3"/>
          <w:szCs w:val="24"/>
          <w:highlight w:val="yellow"/>
          <w:u w:val="single"/>
        </w:rPr>
        <w:fldChar w:fldCharType="end"/>
      </w:r>
    </w:p>
    <w:p w14:paraId="61B14D47" w14:textId="476EE936" w:rsidR="00556C06" w:rsidRPr="00CF4942" w:rsidRDefault="00556C06" w:rsidP="00556C06">
      <w:pPr>
        <w:suppressAutoHyphens/>
        <w:jc w:val="both"/>
        <w:rPr>
          <w:bCs/>
          <w:spacing w:val="-3"/>
          <w:szCs w:val="24"/>
          <w:u w:val="single"/>
        </w:rPr>
      </w:pPr>
      <w:r w:rsidRPr="00CF4942">
        <w:rPr>
          <w:bCs/>
          <w:spacing w:val="-3"/>
          <w:szCs w:val="24"/>
          <w:u w:val="single"/>
        </w:rPr>
        <w:t>QUEEN’S BENCH DIVISION</w:t>
      </w:r>
    </w:p>
    <w:p w14:paraId="04F58AD9" w14:textId="37C99210" w:rsidR="00C31C6A" w:rsidRPr="00CF4942" w:rsidRDefault="00C31C6A" w:rsidP="00556C06">
      <w:pPr>
        <w:suppressAutoHyphens/>
        <w:jc w:val="both"/>
        <w:rPr>
          <w:bCs/>
          <w:spacing w:val="-3"/>
          <w:szCs w:val="24"/>
          <w:u w:val="single"/>
        </w:rPr>
      </w:pPr>
      <w:r w:rsidRPr="00CF4942">
        <w:rPr>
          <w:bCs/>
          <w:spacing w:val="-3"/>
          <w:szCs w:val="24"/>
          <w:u w:val="single"/>
        </w:rPr>
        <w:t>CLINICAL NEGLIGENCE</w:t>
      </w:r>
    </w:p>
    <w:p w14:paraId="69EE7E92" w14:textId="77777777" w:rsidR="00556C06" w:rsidRPr="00CF4942" w:rsidRDefault="00556C06" w:rsidP="00556C06">
      <w:pPr>
        <w:tabs>
          <w:tab w:val="left" w:pos="-720"/>
        </w:tabs>
        <w:suppressAutoHyphens/>
        <w:jc w:val="both"/>
        <w:rPr>
          <w:b/>
          <w:spacing w:val="-3"/>
          <w:szCs w:val="24"/>
        </w:rPr>
      </w:pPr>
      <w:r w:rsidRPr="00CF4942">
        <w:rPr>
          <w:b/>
          <w:spacing w:val="-3"/>
          <w:szCs w:val="24"/>
        </w:rPr>
        <w:t xml:space="preserve"> </w:t>
      </w:r>
    </w:p>
    <w:p w14:paraId="7D7AA8D0" w14:textId="01637BEC" w:rsidR="00556C06" w:rsidRPr="00CF4942" w:rsidRDefault="00556C06" w:rsidP="00556C06">
      <w:pPr>
        <w:rPr>
          <w:b/>
          <w:szCs w:val="24"/>
          <w:u w:val="single"/>
        </w:rPr>
      </w:pPr>
      <w:r w:rsidRPr="00CF4942">
        <w:rPr>
          <w:b/>
          <w:spacing w:val="-3"/>
          <w:szCs w:val="24"/>
        </w:rPr>
        <w:t xml:space="preserve">Before Master </w:t>
      </w:r>
    </w:p>
    <w:p w14:paraId="219A63F1" w14:textId="77777777" w:rsidR="00556C06" w:rsidRPr="00CF4942" w:rsidRDefault="00556C06" w:rsidP="00556C06">
      <w:pPr>
        <w:tabs>
          <w:tab w:val="left" w:pos="-720"/>
        </w:tabs>
        <w:suppressAutoHyphens/>
        <w:jc w:val="both"/>
        <w:rPr>
          <w:b/>
          <w:spacing w:val="-3"/>
          <w:szCs w:val="24"/>
        </w:rPr>
      </w:pPr>
    </w:p>
    <w:p w14:paraId="3AF8DF1B" w14:textId="77777777" w:rsidR="00556C06" w:rsidRPr="00CF4942" w:rsidRDefault="00556C06" w:rsidP="00556C06">
      <w:pPr>
        <w:spacing w:before="120" w:after="120"/>
        <w:rPr>
          <w:szCs w:val="24"/>
        </w:rPr>
      </w:pPr>
      <w:r w:rsidRPr="00CF4942">
        <w:rPr>
          <w:b/>
          <w:szCs w:val="24"/>
        </w:rPr>
        <w:t>BETWEEN</w:t>
      </w:r>
    </w:p>
    <w:tbl>
      <w:tblPr>
        <w:tblW w:w="8715" w:type="dxa"/>
        <w:jc w:val="center"/>
        <w:tblLayout w:type="fixed"/>
        <w:tblLook w:val="04A0" w:firstRow="1" w:lastRow="0" w:firstColumn="1" w:lastColumn="0" w:noHBand="0" w:noVBand="1"/>
      </w:tblPr>
      <w:tblGrid>
        <w:gridCol w:w="1366"/>
        <w:gridCol w:w="5858"/>
        <w:gridCol w:w="1491"/>
      </w:tblGrid>
      <w:tr w:rsidR="00556C06" w:rsidRPr="00CF4942" w14:paraId="03D06AF0" w14:textId="77777777" w:rsidTr="00556C06">
        <w:trPr>
          <w:jc w:val="center"/>
        </w:trPr>
        <w:tc>
          <w:tcPr>
            <w:tcW w:w="1366" w:type="dxa"/>
          </w:tcPr>
          <w:p w14:paraId="7893DE61" w14:textId="77777777" w:rsidR="00556C06" w:rsidRPr="00CF4942" w:rsidRDefault="00556C06">
            <w:pPr>
              <w:suppressAutoHyphens/>
              <w:spacing w:before="120" w:after="120"/>
              <w:jc w:val="right"/>
              <w:rPr>
                <w:b/>
                <w:spacing w:val="-3"/>
                <w:szCs w:val="24"/>
              </w:rPr>
            </w:pPr>
          </w:p>
        </w:tc>
        <w:tc>
          <w:tcPr>
            <w:tcW w:w="5859" w:type="dxa"/>
            <w:hideMark/>
          </w:tcPr>
          <w:p w14:paraId="5BC72BB1" w14:textId="585A3B3F" w:rsidR="00556C06" w:rsidRPr="00CF4942" w:rsidRDefault="00556C06">
            <w:pPr>
              <w:suppressAutoHyphens/>
              <w:spacing w:before="120" w:after="120"/>
              <w:jc w:val="center"/>
              <w:rPr>
                <w:b/>
                <w:bCs/>
                <w:spacing w:val="-3"/>
                <w:szCs w:val="24"/>
              </w:rPr>
            </w:pPr>
            <w:r w:rsidRPr="00CF4942">
              <w:rPr>
                <w:b/>
                <w:bCs/>
                <w:spacing w:val="-3"/>
                <w:szCs w:val="24"/>
              </w:rPr>
              <w:t>AB</w:t>
            </w:r>
          </w:p>
        </w:tc>
        <w:tc>
          <w:tcPr>
            <w:tcW w:w="1491" w:type="dxa"/>
            <w:hideMark/>
          </w:tcPr>
          <w:p w14:paraId="02E41A45" w14:textId="77777777" w:rsidR="00556C06" w:rsidRPr="00CF4942" w:rsidRDefault="00556C06">
            <w:pPr>
              <w:pStyle w:val="CoverMain"/>
              <w:tabs>
                <w:tab w:val="clear" w:pos="0"/>
              </w:tabs>
              <w:spacing w:before="120" w:after="120"/>
              <w:jc w:val="right"/>
              <w:rPr>
                <w:b w:val="0"/>
                <w:bCs/>
                <w:szCs w:val="24"/>
              </w:rPr>
            </w:pPr>
            <w:r w:rsidRPr="00CF4942">
              <w:rPr>
                <w:b w:val="0"/>
                <w:bCs/>
                <w:szCs w:val="24"/>
              </w:rPr>
              <w:t>Claimant</w:t>
            </w:r>
          </w:p>
        </w:tc>
      </w:tr>
      <w:tr w:rsidR="00556C06" w:rsidRPr="00CF4942" w14:paraId="198A3095" w14:textId="77777777" w:rsidTr="00556C06">
        <w:trPr>
          <w:jc w:val="center"/>
        </w:trPr>
        <w:tc>
          <w:tcPr>
            <w:tcW w:w="1366" w:type="dxa"/>
          </w:tcPr>
          <w:p w14:paraId="6DA3308F" w14:textId="77777777" w:rsidR="00556C06" w:rsidRPr="00CF4942" w:rsidRDefault="00556C06">
            <w:pPr>
              <w:suppressAutoHyphens/>
              <w:spacing w:before="120" w:after="120"/>
              <w:jc w:val="right"/>
              <w:rPr>
                <w:b/>
                <w:spacing w:val="-3"/>
                <w:szCs w:val="24"/>
              </w:rPr>
            </w:pPr>
          </w:p>
        </w:tc>
        <w:tc>
          <w:tcPr>
            <w:tcW w:w="5859" w:type="dxa"/>
            <w:hideMark/>
          </w:tcPr>
          <w:p w14:paraId="288AD7B3" w14:textId="77777777" w:rsidR="00556C06" w:rsidRPr="00CF4942" w:rsidRDefault="00556C06">
            <w:pPr>
              <w:suppressAutoHyphens/>
              <w:spacing w:before="120" w:after="120"/>
              <w:jc w:val="center"/>
              <w:rPr>
                <w:bCs/>
                <w:spacing w:val="-3"/>
                <w:szCs w:val="24"/>
              </w:rPr>
            </w:pPr>
            <w:r w:rsidRPr="00CF4942">
              <w:rPr>
                <w:bCs/>
                <w:spacing w:val="-3"/>
                <w:szCs w:val="24"/>
              </w:rPr>
              <w:t>- and -</w:t>
            </w:r>
          </w:p>
        </w:tc>
        <w:tc>
          <w:tcPr>
            <w:tcW w:w="1491" w:type="dxa"/>
          </w:tcPr>
          <w:p w14:paraId="7181BF06" w14:textId="77777777" w:rsidR="00556C06" w:rsidRPr="00CF4942" w:rsidRDefault="00556C06">
            <w:pPr>
              <w:pStyle w:val="CoverMain"/>
              <w:tabs>
                <w:tab w:val="clear" w:pos="0"/>
              </w:tabs>
              <w:spacing w:before="120" w:after="120"/>
              <w:jc w:val="right"/>
              <w:rPr>
                <w:szCs w:val="24"/>
              </w:rPr>
            </w:pPr>
          </w:p>
        </w:tc>
      </w:tr>
      <w:tr w:rsidR="00556C06" w:rsidRPr="00CF4942" w14:paraId="190A2E92" w14:textId="77777777" w:rsidTr="00556C06">
        <w:trPr>
          <w:jc w:val="center"/>
        </w:trPr>
        <w:tc>
          <w:tcPr>
            <w:tcW w:w="1366" w:type="dxa"/>
          </w:tcPr>
          <w:p w14:paraId="65769114" w14:textId="77777777" w:rsidR="00556C06" w:rsidRPr="00CF4942" w:rsidRDefault="00556C06">
            <w:pPr>
              <w:suppressAutoHyphens/>
              <w:spacing w:before="120" w:after="120"/>
              <w:jc w:val="right"/>
              <w:rPr>
                <w:b/>
                <w:spacing w:val="-3"/>
                <w:szCs w:val="24"/>
              </w:rPr>
            </w:pPr>
          </w:p>
        </w:tc>
        <w:tc>
          <w:tcPr>
            <w:tcW w:w="5859" w:type="dxa"/>
            <w:hideMark/>
          </w:tcPr>
          <w:p w14:paraId="10A89B03" w14:textId="6BF34B6D" w:rsidR="00556C06" w:rsidRPr="00CF4942" w:rsidRDefault="00556C06">
            <w:pPr>
              <w:suppressAutoHyphens/>
              <w:spacing w:before="120" w:after="120"/>
              <w:jc w:val="center"/>
              <w:rPr>
                <w:b/>
                <w:bCs/>
                <w:spacing w:val="-3"/>
                <w:szCs w:val="24"/>
              </w:rPr>
            </w:pPr>
            <w:r w:rsidRPr="00CF4942">
              <w:rPr>
                <w:b/>
                <w:bCs/>
                <w:spacing w:val="-3"/>
                <w:szCs w:val="24"/>
              </w:rPr>
              <w:t>CD</w:t>
            </w:r>
          </w:p>
        </w:tc>
        <w:tc>
          <w:tcPr>
            <w:tcW w:w="1491" w:type="dxa"/>
            <w:hideMark/>
          </w:tcPr>
          <w:p w14:paraId="2F4F8766" w14:textId="77777777" w:rsidR="00556C06" w:rsidRPr="00CF4942" w:rsidRDefault="00556C06">
            <w:pPr>
              <w:pStyle w:val="CoverMain"/>
              <w:tabs>
                <w:tab w:val="clear" w:pos="0"/>
              </w:tabs>
              <w:spacing w:before="120" w:after="120"/>
              <w:jc w:val="right"/>
              <w:rPr>
                <w:b w:val="0"/>
                <w:bCs/>
                <w:szCs w:val="24"/>
              </w:rPr>
            </w:pPr>
            <w:r w:rsidRPr="00CF4942">
              <w:rPr>
                <w:b w:val="0"/>
                <w:bCs/>
                <w:szCs w:val="24"/>
              </w:rPr>
              <w:t>Defendant</w:t>
            </w:r>
          </w:p>
        </w:tc>
      </w:tr>
      <w:tr w:rsidR="00556C06" w:rsidRPr="00CF4942" w14:paraId="0CE27BFB" w14:textId="77777777" w:rsidTr="00556C06">
        <w:trPr>
          <w:jc w:val="center"/>
        </w:trPr>
        <w:tc>
          <w:tcPr>
            <w:tcW w:w="1366" w:type="dxa"/>
          </w:tcPr>
          <w:p w14:paraId="36A95AB3" w14:textId="77777777" w:rsidR="00556C06" w:rsidRPr="00CF4942" w:rsidRDefault="00556C06">
            <w:pPr>
              <w:suppressAutoHyphens/>
              <w:spacing w:before="120" w:after="120"/>
              <w:jc w:val="right"/>
              <w:rPr>
                <w:b/>
                <w:spacing w:val="-3"/>
                <w:szCs w:val="24"/>
              </w:rPr>
            </w:pPr>
          </w:p>
        </w:tc>
        <w:tc>
          <w:tcPr>
            <w:tcW w:w="5859" w:type="dxa"/>
            <w:tcBorders>
              <w:top w:val="nil"/>
              <w:left w:val="nil"/>
              <w:bottom w:val="single" w:sz="8" w:space="0" w:color="auto"/>
              <w:right w:val="nil"/>
            </w:tcBorders>
          </w:tcPr>
          <w:p w14:paraId="1A095FB1" w14:textId="77777777" w:rsidR="00556C06" w:rsidRPr="00CF4942" w:rsidRDefault="00556C06">
            <w:pPr>
              <w:suppressAutoHyphens/>
              <w:spacing w:before="120" w:after="120"/>
              <w:jc w:val="center"/>
              <w:rPr>
                <w:b/>
                <w:spacing w:val="-3"/>
                <w:szCs w:val="24"/>
              </w:rPr>
            </w:pPr>
          </w:p>
        </w:tc>
        <w:tc>
          <w:tcPr>
            <w:tcW w:w="1491" w:type="dxa"/>
          </w:tcPr>
          <w:p w14:paraId="74A8DAE5" w14:textId="77777777" w:rsidR="00556C06" w:rsidRPr="00CF4942" w:rsidRDefault="00556C06">
            <w:pPr>
              <w:pStyle w:val="CoverMain"/>
              <w:tabs>
                <w:tab w:val="clear" w:pos="0"/>
              </w:tabs>
              <w:spacing w:before="120" w:after="120"/>
              <w:jc w:val="right"/>
              <w:rPr>
                <w:szCs w:val="24"/>
              </w:rPr>
            </w:pPr>
          </w:p>
        </w:tc>
      </w:tr>
      <w:tr w:rsidR="00556C06" w:rsidRPr="00CF4942" w14:paraId="1F269DD2" w14:textId="77777777" w:rsidTr="00556C06">
        <w:trPr>
          <w:jc w:val="center"/>
        </w:trPr>
        <w:tc>
          <w:tcPr>
            <w:tcW w:w="1366" w:type="dxa"/>
          </w:tcPr>
          <w:p w14:paraId="67BAF82A" w14:textId="77777777" w:rsidR="00556C06" w:rsidRPr="00CF4942" w:rsidRDefault="00556C06">
            <w:pPr>
              <w:suppressAutoHyphens/>
              <w:spacing w:before="120" w:after="120"/>
              <w:jc w:val="right"/>
              <w:rPr>
                <w:b/>
                <w:spacing w:val="-3"/>
                <w:szCs w:val="24"/>
              </w:rPr>
            </w:pPr>
          </w:p>
        </w:tc>
        <w:tc>
          <w:tcPr>
            <w:tcW w:w="5859" w:type="dxa"/>
            <w:tcBorders>
              <w:top w:val="single" w:sz="8" w:space="0" w:color="auto"/>
              <w:left w:val="nil"/>
              <w:bottom w:val="single" w:sz="8" w:space="0" w:color="auto"/>
              <w:right w:val="nil"/>
            </w:tcBorders>
          </w:tcPr>
          <w:p w14:paraId="0ACF5501" w14:textId="77777777" w:rsidR="00556C06" w:rsidRPr="00CF4942" w:rsidRDefault="00556C06">
            <w:pPr>
              <w:suppressAutoHyphens/>
              <w:jc w:val="center"/>
              <w:rPr>
                <w:b/>
                <w:spacing w:val="-3"/>
                <w:szCs w:val="24"/>
              </w:rPr>
            </w:pPr>
          </w:p>
          <w:p w14:paraId="4EFCB080" w14:textId="77777777" w:rsidR="00556C06" w:rsidRPr="00CF4942" w:rsidRDefault="00556C06">
            <w:pPr>
              <w:tabs>
                <w:tab w:val="left" w:pos="-720"/>
              </w:tabs>
              <w:suppressAutoHyphens/>
              <w:jc w:val="center"/>
              <w:rPr>
                <w:b/>
                <w:szCs w:val="24"/>
              </w:rPr>
            </w:pPr>
            <w:r w:rsidRPr="00CF4942">
              <w:rPr>
                <w:b/>
                <w:szCs w:val="24"/>
              </w:rPr>
              <w:t xml:space="preserve">ORDER </w:t>
            </w:r>
          </w:p>
          <w:p w14:paraId="4F0BEDA0" w14:textId="77777777" w:rsidR="00556C06" w:rsidRPr="00CF4942" w:rsidRDefault="00556C06">
            <w:pPr>
              <w:suppressAutoHyphens/>
              <w:jc w:val="center"/>
              <w:rPr>
                <w:b/>
                <w:spacing w:val="-3"/>
                <w:szCs w:val="24"/>
              </w:rPr>
            </w:pPr>
          </w:p>
        </w:tc>
        <w:tc>
          <w:tcPr>
            <w:tcW w:w="1491" w:type="dxa"/>
          </w:tcPr>
          <w:p w14:paraId="17A7E5C6" w14:textId="77777777" w:rsidR="00556C06" w:rsidRPr="00CF4942" w:rsidRDefault="00556C06">
            <w:pPr>
              <w:pStyle w:val="CoverMain"/>
              <w:tabs>
                <w:tab w:val="clear" w:pos="0"/>
              </w:tabs>
              <w:spacing w:before="120" w:after="120"/>
              <w:jc w:val="right"/>
              <w:rPr>
                <w:szCs w:val="24"/>
              </w:rPr>
            </w:pPr>
          </w:p>
        </w:tc>
      </w:tr>
    </w:tbl>
    <w:p w14:paraId="2781404E" w14:textId="77777777" w:rsidR="00556C06" w:rsidRPr="00CF4942" w:rsidRDefault="00556C06" w:rsidP="00556C06">
      <w:pPr>
        <w:suppressAutoHyphens/>
        <w:spacing w:line="480" w:lineRule="auto"/>
        <w:jc w:val="both"/>
        <w:rPr>
          <w:b/>
          <w:spacing w:val="-3"/>
          <w:szCs w:val="24"/>
          <w:lang w:eastAsia="en-US"/>
        </w:rPr>
      </w:pPr>
    </w:p>
    <w:p w14:paraId="5229F4EA" w14:textId="77777777" w:rsidR="00556C06" w:rsidRPr="00CF4942" w:rsidRDefault="00556C06" w:rsidP="00DE3101">
      <w:pPr>
        <w:spacing w:after="120"/>
        <w:jc w:val="both"/>
        <w:outlineLvl w:val="0"/>
        <w:rPr>
          <w:szCs w:val="24"/>
        </w:rPr>
      </w:pPr>
      <w:r w:rsidRPr="00CF4942">
        <w:rPr>
          <w:b/>
          <w:szCs w:val="24"/>
        </w:rPr>
        <w:t>Warning:  you must comply with the terms imposed upon you by this order otherwise your case is liable to be struck out or some other sanction imposed. If you cannot comply you are expected to make formal application to the court before any deadline imposed upon you expires.</w:t>
      </w:r>
    </w:p>
    <w:p w14:paraId="2EA58BDA" w14:textId="77777777" w:rsidR="00556C06" w:rsidRPr="00CF4942" w:rsidRDefault="00556C06" w:rsidP="00DE3101">
      <w:pPr>
        <w:jc w:val="both"/>
        <w:rPr>
          <w:szCs w:val="24"/>
        </w:rPr>
      </w:pPr>
    </w:p>
    <w:p w14:paraId="46D361ED" w14:textId="351E5175" w:rsidR="00556C06" w:rsidRPr="00CF4942" w:rsidRDefault="00556C06" w:rsidP="00DE3101">
      <w:pPr>
        <w:spacing w:before="100" w:beforeAutospacing="1" w:after="100" w:afterAutospacing="1" w:line="360" w:lineRule="auto"/>
        <w:jc w:val="both"/>
        <w:rPr>
          <w:szCs w:val="24"/>
        </w:rPr>
      </w:pPr>
      <w:r w:rsidRPr="00CF4942">
        <w:rPr>
          <w:b/>
          <w:bCs/>
          <w:szCs w:val="24"/>
        </w:rPr>
        <w:t>UPON</w:t>
      </w:r>
      <w:r w:rsidRPr="00CF4942">
        <w:rPr>
          <w:szCs w:val="24"/>
        </w:rPr>
        <w:t xml:space="preserve"> a costs and case management conference by video/telephone hearing/in room E112/E120/E121 at the Royal Court</w:t>
      </w:r>
      <w:r w:rsidR="00143BF4" w:rsidRPr="00CF4942">
        <w:rPr>
          <w:szCs w:val="24"/>
        </w:rPr>
        <w:t>s of</w:t>
      </w:r>
      <w:r w:rsidRPr="00CF4942">
        <w:rPr>
          <w:szCs w:val="24"/>
        </w:rPr>
        <w:t xml:space="preserve"> Justice, Strand, London</w:t>
      </w:r>
    </w:p>
    <w:p w14:paraId="344CCD8A" w14:textId="53E20F33" w:rsidR="00556C06" w:rsidRPr="00CF4942" w:rsidRDefault="00556C06" w:rsidP="00DE3101">
      <w:pPr>
        <w:spacing w:before="100" w:beforeAutospacing="1" w:after="100" w:afterAutospacing="1" w:line="360" w:lineRule="auto"/>
        <w:jc w:val="both"/>
        <w:rPr>
          <w:szCs w:val="24"/>
        </w:rPr>
      </w:pPr>
      <w:r w:rsidRPr="00CF4942">
        <w:rPr>
          <w:b/>
          <w:bCs/>
          <w:szCs w:val="24"/>
        </w:rPr>
        <w:t>AND UPON HEARING</w:t>
      </w:r>
      <w:r w:rsidRPr="00CF4942">
        <w:rPr>
          <w:szCs w:val="24"/>
        </w:rPr>
        <w:t xml:space="preserve"> counsel/solicitor for the </w:t>
      </w:r>
      <w:r w:rsidR="00937BCB" w:rsidRPr="00CF4942">
        <w:rPr>
          <w:szCs w:val="24"/>
        </w:rPr>
        <w:t>Claimant</w:t>
      </w:r>
      <w:r w:rsidRPr="00CF4942">
        <w:rPr>
          <w:szCs w:val="24"/>
        </w:rPr>
        <w:t xml:space="preserve"> and </w:t>
      </w:r>
      <w:r w:rsidR="00937BCB" w:rsidRPr="00CF4942">
        <w:rPr>
          <w:szCs w:val="24"/>
        </w:rPr>
        <w:t>Counsel</w:t>
      </w:r>
      <w:r w:rsidRPr="00CF4942">
        <w:rPr>
          <w:szCs w:val="24"/>
        </w:rPr>
        <w:t>/Solicitor</w:t>
      </w:r>
      <w:r w:rsidR="00143BF4" w:rsidRPr="00CF4942">
        <w:rPr>
          <w:szCs w:val="24"/>
        </w:rPr>
        <w:t xml:space="preserve"> for</w:t>
      </w:r>
      <w:r w:rsidRPr="00CF4942">
        <w:rPr>
          <w:szCs w:val="24"/>
        </w:rPr>
        <w:t xml:space="preserve"> </w:t>
      </w:r>
      <w:r w:rsidR="00143BF4" w:rsidRPr="00CF4942">
        <w:rPr>
          <w:szCs w:val="24"/>
        </w:rPr>
        <w:t>t</w:t>
      </w:r>
      <w:r w:rsidRPr="00CF4942">
        <w:rPr>
          <w:szCs w:val="24"/>
        </w:rPr>
        <w:t xml:space="preserve">he Defendant </w:t>
      </w:r>
    </w:p>
    <w:p w14:paraId="0175FE0E" w14:textId="679B8738" w:rsidR="00556C06" w:rsidRPr="00CF4942" w:rsidRDefault="00556C06" w:rsidP="00DE3101">
      <w:pPr>
        <w:spacing w:before="100" w:beforeAutospacing="1" w:after="100" w:afterAutospacing="1" w:line="360" w:lineRule="auto"/>
        <w:jc w:val="both"/>
        <w:rPr>
          <w:szCs w:val="24"/>
        </w:rPr>
      </w:pPr>
      <w:r w:rsidRPr="00CF4942">
        <w:rPr>
          <w:b/>
          <w:bCs/>
          <w:szCs w:val="24"/>
        </w:rPr>
        <w:t>IT IS ORDERED</w:t>
      </w:r>
      <w:r w:rsidRPr="00CF4942">
        <w:rPr>
          <w:szCs w:val="24"/>
        </w:rPr>
        <w:t xml:space="preserve"> that:</w:t>
      </w:r>
    </w:p>
    <w:p w14:paraId="0305C55B" w14:textId="2246466C" w:rsidR="008201EF" w:rsidRPr="00CF4942" w:rsidRDefault="008201EF" w:rsidP="00DE3101">
      <w:pPr>
        <w:spacing w:before="100" w:beforeAutospacing="1" w:after="100" w:afterAutospacing="1" w:line="360" w:lineRule="auto"/>
        <w:jc w:val="both"/>
        <w:rPr>
          <w:szCs w:val="24"/>
          <w:u w:val="single"/>
        </w:rPr>
      </w:pPr>
      <w:r w:rsidRPr="00CF4942">
        <w:rPr>
          <w:szCs w:val="24"/>
          <w:u w:val="single"/>
        </w:rPr>
        <w:t>Allocation</w:t>
      </w:r>
    </w:p>
    <w:p w14:paraId="0C21EFF7" w14:textId="0032DB69" w:rsidR="00937BCB" w:rsidRPr="00CF4942" w:rsidRDefault="00937BCB" w:rsidP="00DE3101">
      <w:pPr>
        <w:pStyle w:val="ListParagraph"/>
        <w:numPr>
          <w:ilvl w:val="0"/>
          <w:numId w:val="2"/>
        </w:numPr>
        <w:spacing w:before="100" w:beforeAutospacing="1" w:after="100" w:afterAutospacing="1" w:line="360" w:lineRule="auto"/>
        <w:contextualSpacing w:val="0"/>
        <w:jc w:val="both"/>
        <w:rPr>
          <w:szCs w:val="24"/>
        </w:rPr>
      </w:pPr>
      <w:r w:rsidRPr="00CF4942">
        <w:rPr>
          <w:szCs w:val="24"/>
        </w:rPr>
        <w:t xml:space="preserve">The Claim is allocated to the Multi-Track and is assigned to Master XXX for case </w:t>
      </w:r>
      <w:r w:rsidR="00DE3101">
        <w:rPr>
          <w:szCs w:val="24"/>
        </w:rPr>
        <w:t>m</w:t>
      </w:r>
      <w:r w:rsidRPr="00CF4942">
        <w:rPr>
          <w:szCs w:val="24"/>
        </w:rPr>
        <w:t>anagement.</w:t>
      </w:r>
    </w:p>
    <w:p w14:paraId="2D233CA1" w14:textId="434C64F2" w:rsidR="00DB61A8" w:rsidRPr="00CF4942" w:rsidRDefault="00DB61A8" w:rsidP="00DE3101">
      <w:pPr>
        <w:pStyle w:val="junormal"/>
        <w:spacing w:before="100" w:beforeAutospacing="1" w:after="100" w:afterAutospacing="1" w:line="360" w:lineRule="auto"/>
        <w:jc w:val="both"/>
        <w:rPr>
          <w:sz w:val="24"/>
          <w:szCs w:val="24"/>
          <w:u w:val="single"/>
        </w:rPr>
      </w:pPr>
      <w:r w:rsidRPr="00CF4942">
        <w:rPr>
          <w:sz w:val="24"/>
          <w:szCs w:val="24"/>
          <w:u w:val="single"/>
        </w:rPr>
        <w:t>Alternative Dispute Resolution</w:t>
      </w:r>
    </w:p>
    <w:p w14:paraId="621A5EB7" w14:textId="77777777" w:rsidR="00937BCB" w:rsidRPr="00CF4942" w:rsidRDefault="00937BCB" w:rsidP="00DE3101">
      <w:pPr>
        <w:numPr>
          <w:ilvl w:val="0"/>
          <w:numId w:val="2"/>
        </w:numPr>
        <w:spacing w:before="100" w:beforeAutospacing="1" w:after="100" w:afterAutospacing="1" w:line="360" w:lineRule="auto"/>
        <w:jc w:val="both"/>
        <w:rPr>
          <w:szCs w:val="24"/>
        </w:rPr>
      </w:pPr>
      <w:r w:rsidRPr="00CF4942">
        <w:rPr>
          <w:szCs w:val="24"/>
        </w:rPr>
        <w:t xml:space="preserve">At all stages the parties must consider settling this litigation by any means of Alternative Dispute Resolution (including round table conferences, early neutral </w:t>
      </w:r>
      <w:r w:rsidRPr="00CF4942">
        <w:rPr>
          <w:szCs w:val="24"/>
        </w:rPr>
        <w:lastRenderedPageBreak/>
        <w:t xml:space="preserve">evaluation, mediation and arbitration); any party not engaging in any such means proposed by another is to serve a witness statement giving reasons within </w:t>
      </w:r>
      <w:r w:rsidRPr="00CF4942">
        <w:rPr>
          <w:b/>
          <w:szCs w:val="24"/>
        </w:rPr>
        <w:t>21 days</w:t>
      </w:r>
      <w:r w:rsidRPr="00CF4942">
        <w:rPr>
          <w:szCs w:val="24"/>
        </w:rPr>
        <w:t xml:space="preserve"> of receipt of that proposal. That witness statement must not be shown to the trial judge until questions of costs arise.</w:t>
      </w:r>
    </w:p>
    <w:p w14:paraId="5A5FE8BC" w14:textId="77777777" w:rsidR="00A31C95" w:rsidRPr="00CF4942" w:rsidRDefault="00A31C95" w:rsidP="00DE3101">
      <w:pPr>
        <w:spacing w:before="100" w:beforeAutospacing="1" w:after="100" w:afterAutospacing="1" w:line="360" w:lineRule="auto"/>
        <w:jc w:val="both"/>
        <w:rPr>
          <w:szCs w:val="24"/>
          <w:u w:val="single"/>
        </w:rPr>
      </w:pPr>
      <w:r w:rsidRPr="00CF4942">
        <w:rPr>
          <w:szCs w:val="24"/>
          <w:u w:val="single"/>
        </w:rPr>
        <w:t>Preservation of Evidence</w:t>
      </w:r>
    </w:p>
    <w:p w14:paraId="5AD6BFE1" w14:textId="3D55BCA9" w:rsidR="00937BCB" w:rsidRPr="00CF4942" w:rsidRDefault="00937BCB" w:rsidP="00DE3101">
      <w:pPr>
        <w:numPr>
          <w:ilvl w:val="0"/>
          <w:numId w:val="2"/>
        </w:numPr>
        <w:spacing w:before="100" w:beforeAutospacing="1" w:after="100" w:afterAutospacing="1" w:line="360" w:lineRule="auto"/>
        <w:jc w:val="both"/>
        <w:rPr>
          <w:szCs w:val="24"/>
        </w:rPr>
      </w:pPr>
      <w:r w:rsidRPr="00CF4942">
        <w:rPr>
          <w:szCs w:val="24"/>
        </w:rPr>
        <w:t>Documents are to be retained as follows:</w:t>
      </w:r>
    </w:p>
    <w:p w14:paraId="7B8BF4CC"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the parties must retain all electronically stored documents relating to the issues in this Claim.</w:t>
      </w:r>
    </w:p>
    <w:p w14:paraId="78995AA5"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the Defendant must retain the original clinical notes relating to the issues in this Claim. The Defendant must give facilities for inspection by the Claimant, the Claimant’s legal advisers and experts of these original notes on 7 days written notice.</w:t>
      </w:r>
    </w:p>
    <w:p w14:paraId="6E1A33C7" w14:textId="2E376B2C"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legible copies of the medical and educational records of the Claimant / Deceased / Claimant’s Mother  are to be placed in a separate paginated bundle by the Claimant’s Solicitors and kept up to date.  All references to medical notes are to be made by reference to the pages in that bundle</w:t>
      </w:r>
    </w:p>
    <w:p w14:paraId="301207F0" w14:textId="77777777" w:rsidR="00737DB6" w:rsidRPr="00CF4942" w:rsidRDefault="00737DB6" w:rsidP="00DE3101">
      <w:pPr>
        <w:spacing w:before="100" w:beforeAutospacing="1" w:after="100" w:afterAutospacing="1" w:line="360" w:lineRule="auto"/>
        <w:jc w:val="both"/>
        <w:rPr>
          <w:szCs w:val="24"/>
          <w:u w:val="single"/>
        </w:rPr>
      </w:pPr>
      <w:r w:rsidRPr="00CF4942">
        <w:rPr>
          <w:szCs w:val="24"/>
          <w:u w:val="single"/>
        </w:rPr>
        <w:t>Disclosure</w:t>
      </w:r>
    </w:p>
    <w:p w14:paraId="64B92FBF" w14:textId="6BA2124E" w:rsidR="00937BCB" w:rsidRPr="00CF4942" w:rsidRDefault="00937BCB" w:rsidP="00DE3101">
      <w:pPr>
        <w:numPr>
          <w:ilvl w:val="0"/>
          <w:numId w:val="2"/>
        </w:numPr>
        <w:spacing w:before="100" w:beforeAutospacing="1" w:after="100" w:afterAutospacing="1" w:line="360" w:lineRule="auto"/>
        <w:jc w:val="both"/>
        <w:rPr>
          <w:szCs w:val="24"/>
        </w:rPr>
      </w:pPr>
      <w:r w:rsidRPr="00CF4942">
        <w:rPr>
          <w:szCs w:val="24"/>
        </w:rPr>
        <w:t>Disclosure of documents relevant to the issues of breach of duty and causation and quantification of damages will be dealt with as follows:</w:t>
      </w:r>
    </w:p>
    <w:p w14:paraId="2F69AE2B"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b/>
          <w:szCs w:val="24"/>
        </w:rPr>
        <w:t xml:space="preserve">By 4pm on </w:t>
      </w:r>
      <w:proofErr w:type="spellStart"/>
      <w:r w:rsidRPr="00CF4942">
        <w:rPr>
          <w:b/>
          <w:szCs w:val="24"/>
        </w:rPr>
        <w:t>xxxx</w:t>
      </w:r>
      <w:proofErr w:type="spellEnd"/>
      <w:r w:rsidRPr="00CF4942">
        <w:rPr>
          <w:szCs w:val="24"/>
        </w:rPr>
        <w:t xml:space="preserve"> both parties must give to each other standard disclosure of documents by list and category.</w:t>
      </w:r>
    </w:p>
    <w:p w14:paraId="044B8429"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b/>
          <w:szCs w:val="24"/>
        </w:rPr>
        <w:t xml:space="preserve">By 4pm on </w:t>
      </w:r>
      <w:proofErr w:type="spellStart"/>
      <w:r w:rsidRPr="00CF4942">
        <w:rPr>
          <w:b/>
          <w:szCs w:val="24"/>
        </w:rPr>
        <w:t>xxxx</w:t>
      </w:r>
      <w:proofErr w:type="spellEnd"/>
      <w:r w:rsidRPr="00CF4942">
        <w:rPr>
          <w:szCs w:val="24"/>
        </w:rPr>
        <w:t xml:space="preserve"> any request must be made to inspect the original of, or to provide a copy of, a disclosable document.</w:t>
      </w:r>
    </w:p>
    <w:p w14:paraId="6019D8E2"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Any such request unless objected to must be complied with within 14 days of the request.</w:t>
      </w:r>
    </w:p>
    <w:p w14:paraId="5AA23496" w14:textId="1BC83A35" w:rsidR="00937BCB" w:rsidRPr="00CF4942" w:rsidRDefault="00937BCB" w:rsidP="00DE3101">
      <w:pPr>
        <w:numPr>
          <w:ilvl w:val="1"/>
          <w:numId w:val="2"/>
        </w:numPr>
        <w:spacing w:before="100" w:beforeAutospacing="1" w:after="100" w:afterAutospacing="1" w:line="360" w:lineRule="auto"/>
        <w:jc w:val="both"/>
        <w:rPr>
          <w:szCs w:val="24"/>
        </w:rPr>
      </w:pPr>
      <w:r w:rsidRPr="00CF4942">
        <w:rPr>
          <w:b/>
          <w:szCs w:val="24"/>
        </w:rPr>
        <w:t xml:space="preserve">By 4pm on </w:t>
      </w:r>
      <w:proofErr w:type="spellStart"/>
      <w:r w:rsidRPr="00CF4942">
        <w:rPr>
          <w:b/>
          <w:szCs w:val="24"/>
        </w:rPr>
        <w:t>xxxx</w:t>
      </w:r>
      <w:proofErr w:type="spellEnd"/>
      <w:r w:rsidRPr="00CF4942">
        <w:rPr>
          <w:szCs w:val="24"/>
        </w:rPr>
        <w:t xml:space="preserve"> each party must serve and file with the court a list of issues relevant to the search for and disclosure of electronically stored documents, or must confirm there are no such issues, following Practice Direction 31B.</w:t>
      </w:r>
    </w:p>
    <w:p w14:paraId="3418E842" w14:textId="77777777" w:rsidR="001951A2" w:rsidRPr="00CF4942" w:rsidRDefault="001951A2" w:rsidP="00DE3101">
      <w:pPr>
        <w:spacing w:before="100" w:beforeAutospacing="1" w:after="100" w:afterAutospacing="1" w:line="360" w:lineRule="auto"/>
        <w:jc w:val="both"/>
        <w:rPr>
          <w:szCs w:val="24"/>
          <w:u w:val="single"/>
        </w:rPr>
      </w:pPr>
      <w:r w:rsidRPr="00CF4942">
        <w:rPr>
          <w:szCs w:val="24"/>
          <w:u w:val="single"/>
        </w:rPr>
        <w:t>Factual Witnesses</w:t>
      </w:r>
    </w:p>
    <w:p w14:paraId="54B167F1" w14:textId="7943CD0B" w:rsidR="00937BCB" w:rsidRPr="00CF4942" w:rsidRDefault="00937BCB" w:rsidP="00DE3101">
      <w:pPr>
        <w:numPr>
          <w:ilvl w:val="0"/>
          <w:numId w:val="2"/>
        </w:numPr>
        <w:spacing w:before="100" w:beforeAutospacing="1" w:after="100" w:afterAutospacing="1" w:line="360" w:lineRule="auto"/>
        <w:jc w:val="both"/>
        <w:rPr>
          <w:szCs w:val="24"/>
        </w:rPr>
      </w:pPr>
      <w:r w:rsidRPr="00CF4942">
        <w:rPr>
          <w:szCs w:val="24"/>
        </w:rPr>
        <w:lastRenderedPageBreak/>
        <w:t>Evidence of fact will be dealt with as follows:</w:t>
      </w:r>
    </w:p>
    <w:p w14:paraId="34ED73A0"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b/>
          <w:szCs w:val="24"/>
        </w:rPr>
        <w:t xml:space="preserve">By 4pm on </w:t>
      </w:r>
      <w:proofErr w:type="spellStart"/>
      <w:r w:rsidRPr="00CF4942">
        <w:rPr>
          <w:b/>
          <w:szCs w:val="24"/>
        </w:rPr>
        <w:t>xxxx</w:t>
      </w:r>
      <w:proofErr w:type="spellEnd"/>
      <w:r w:rsidRPr="00CF4942">
        <w:rPr>
          <w:szCs w:val="24"/>
        </w:rPr>
        <w:t xml:space="preserve"> both parties must serve on each other copies of the signed statements of themselves and of all witnesses on whom they intend to rely in respect of breach of duty and causation and all notices relating to evidence, including Civil Evidence Act notices.</w:t>
      </w:r>
    </w:p>
    <w:p w14:paraId="14798A42"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For the avoidance of doubt statements of all concerned with the relevant treatment and care of the Claimant must be included.</w:t>
      </w:r>
    </w:p>
    <w:p w14:paraId="15B9C43F"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b/>
          <w:szCs w:val="24"/>
        </w:rPr>
        <w:t xml:space="preserve">By 4pm on </w:t>
      </w:r>
      <w:proofErr w:type="spellStart"/>
      <w:r w:rsidRPr="00CF4942">
        <w:rPr>
          <w:b/>
          <w:szCs w:val="24"/>
        </w:rPr>
        <w:t>xxxx</w:t>
      </w:r>
      <w:proofErr w:type="spellEnd"/>
      <w:r w:rsidRPr="00CF4942">
        <w:rPr>
          <w:szCs w:val="24"/>
        </w:rPr>
        <w:t xml:space="preserve"> both parties must serve on each other copies of the signed statements of themselves and of all witnesses on whom they intend to rely in respect of condition, prognosis and loss and all notices relating to evidence, including Civil Evidence Act notices.</w:t>
      </w:r>
    </w:p>
    <w:p w14:paraId="12AA5631"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Oral evidence will not be permitted at trial from a witness whose statement has not been served in accordance with this order or has been served late, except with permission from the Court.</w:t>
      </w:r>
    </w:p>
    <w:p w14:paraId="2BB95D36"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Evidence of fact is limited to xx witnesses on behalf of each party.</w:t>
      </w:r>
    </w:p>
    <w:p w14:paraId="01399811" w14:textId="42EF75FB"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Witness statements must not exceed xx pages of A4 in length.</w:t>
      </w:r>
    </w:p>
    <w:p w14:paraId="782BCE3D" w14:textId="77777777" w:rsidR="0034180C" w:rsidRPr="00CF4942" w:rsidRDefault="0034180C" w:rsidP="00DE3101">
      <w:pPr>
        <w:spacing w:before="100" w:beforeAutospacing="1" w:after="100" w:afterAutospacing="1" w:line="360" w:lineRule="auto"/>
        <w:jc w:val="both"/>
        <w:rPr>
          <w:szCs w:val="24"/>
          <w:u w:val="single"/>
        </w:rPr>
      </w:pPr>
      <w:r w:rsidRPr="00CF4942">
        <w:rPr>
          <w:szCs w:val="24"/>
          <w:u w:val="single"/>
        </w:rPr>
        <w:t>Expert Evidence</w:t>
      </w:r>
    </w:p>
    <w:p w14:paraId="1C7C8CA9" w14:textId="3CE36EFA" w:rsidR="00937BCB" w:rsidRPr="00CF4942" w:rsidRDefault="00937BCB" w:rsidP="00DE3101">
      <w:pPr>
        <w:numPr>
          <w:ilvl w:val="0"/>
          <w:numId w:val="2"/>
        </w:numPr>
        <w:spacing w:before="100" w:beforeAutospacing="1" w:after="100" w:afterAutospacing="1" w:line="360" w:lineRule="auto"/>
        <w:jc w:val="both"/>
        <w:rPr>
          <w:szCs w:val="24"/>
        </w:rPr>
      </w:pPr>
      <w:r w:rsidRPr="00CF4942">
        <w:rPr>
          <w:szCs w:val="24"/>
        </w:rPr>
        <w:t>Expert evidence is directed as follows.</w:t>
      </w:r>
    </w:p>
    <w:p w14:paraId="11045598" w14:textId="77777777" w:rsidR="00937BCB" w:rsidRPr="00CF4942" w:rsidRDefault="00937BCB" w:rsidP="00DE3101">
      <w:pPr>
        <w:numPr>
          <w:ilvl w:val="0"/>
          <w:numId w:val="2"/>
        </w:numPr>
        <w:spacing w:before="100" w:beforeAutospacing="1" w:after="100" w:afterAutospacing="1" w:line="360" w:lineRule="auto"/>
        <w:jc w:val="both"/>
        <w:rPr>
          <w:szCs w:val="24"/>
        </w:rPr>
      </w:pPr>
      <w:r w:rsidRPr="00CF4942">
        <w:rPr>
          <w:szCs w:val="24"/>
        </w:rPr>
        <w:t xml:space="preserve">The parties have permission in respect of breach of duty and causation and quantification of damages to rely on the following jointly instructed written evidence of an expert </w:t>
      </w:r>
      <w:proofErr w:type="spellStart"/>
      <w:r w:rsidRPr="00CF4942">
        <w:rPr>
          <w:szCs w:val="24"/>
        </w:rPr>
        <w:t>xxxx</w:t>
      </w:r>
      <w:proofErr w:type="spellEnd"/>
      <w:r w:rsidRPr="00CF4942">
        <w:rPr>
          <w:szCs w:val="24"/>
        </w:rPr>
        <w:t xml:space="preserve"> </w:t>
      </w:r>
    </w:p>
    <w:p w14:paraId="6E5453E6"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 xml:space="preserve">By </w:t>
      </w:r>
      <w:proofErr w:type="spellStart"/>
      <w:r w:rsidRPr="00CF4942">
        <w:rPr>
          <w:szCs w:val="24"/>
        </w:rPr>
        <w:t>xxxx</w:t>
      </w:r>
      <w:proofErr w:type="spellEnd"/>
      <w:r w:rsidRPr="00CF4942">
        <w:rPr>
          <w:szCs w:val="24"/>
        </w:rPr>
        <w:t xml:space="preserve"> the expert should be agreed and instructed, and if no expert has been instructed by that date the Claimant must apply to court by 4pm the following day for further directions.</w:t>
      </w:r>
    </w:p>
    <w:p w14:paraId="34239AC9"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 xml:space="preserve">By </w:t>
      </w:r>
      <w:proofErr w:type="spellStart"/>
      <w:r w:rsidRPr="00CF4942">
        <w:rPr>
          <w:szCs w:val="24"/>
        </w:rPr>
        <w:t>xxxx</w:t>
      </w:r>
      <w:proofErr w:type="spellEnd"/>
      <w:r w:rsidRPr="00CF4942">
        <w:rPr>
          <w:szCs w:val="24"/>
        </w:rPr>
        <w:t xml:space="preserve"> the expert will report to the instructing parties.</w:t>
      </w:r>
    </w:p>
    <w:p w14:paraId="54F5F127"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 xml:space="preserve">By </w:t>
      </w:r>
      <w:proofErr w:type="spellStart"/>
      <w:r w:rsidRPr="00CF4942">
        <w:rPr>
          <w:szCs w:val="24"/>
        </w:rPr>
        <w:t>xxxx</w:t>
      </w:r>
      <w:proofErr w:type="spellEnd"/>
      <w:r w:rsidRPr="00CF4942">
        <w:rPr>
          <w:szCs w:val="24"/>
        </w:rPr>
        <w:t xml:space="preserve"> the parties may put written questions to the expert.</w:t>
      </w:r>
    </w:p>
    <w:p w14:paraId="7A3140BA"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 xml:space="preserve">By </w:t>
      </w:r>
      <w:proofErr w:type="spellStart"/>
      <w:r w:rsidRPr="00CF4942">
        <w:rPr>
          <w:szCs w:val="24"/>
        </w:rPr>
        <w:t>xxxx</w:t>
      </w:r>
      <w:proofErr w:type="spellEnd"/>
      <w:r w:rsidRPr="00CF4942">
        <w:rPr>
          <w:szCs w:val="24"/>
        </w:rPr>
        <w:t xml:space="preserve"> the expert will reply to the questions.</w:t>
      </w:r>
    </w:p>
    <w:p w14:paraId="4E8D1E6C"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A copy of this order must be served on the expert by the Claimant with the expert's instructions.</w:t>
      </w:r>
    </w:p>
    <w:p w14:paraId="16D50302"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A party seeking to call the expert to give oral evidence at trial must apply for permission to do so before pre-trial check lists are filed.</w:t>
      </w:r>
    </w:p>
    <w:p w14:paraId="04E11B2D"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lastRenderedPageBreak/>
        <w:t>Unless the parties agree in writing or the Court orders otherwise, the fees and expenses of the expert shall be paid by the parties giving instructions for the report equally.</w:t>
      </w:r>
    </w:p>
    <w:p w14:paraId="4E63EBF3" w14:textId="77777777" w:rsidR="00937BCB" w:rsidRPr="00CF4942" w:rsidRDefault="00937BCB" w:rsidP="00DE3101">
      <w:pPr>
        <w:numPr>
          <w:ilvl w:val="0"/>
          <w:numId w:val="2"/>
        </w:numPr>
        <w:spacing w:before="100" w:beforeAutospacing="1" w:after="100" w:afterAutospacing="1" w:line="360" w:lineRule="auto"/>
        <w:jc w:val="both"/>
        <w:rPr>
          <w:szCs w:val="24"/>
        </w:rPr>
      </w:pPr>
      <w:r w:rsidRPr="00CF4942">
        <w:rPr>
          <w:szCs w:val="24"/>
        </w:rPr>
        <w:t>In respect of breach of duty and causation the parties each have permission to rely on the following written expert evidence:</w:t>
      </w:r>
    </w:p>
    <w:p w14:paraId="6A5FB77F"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The Claimant:</w:t>
      </w:r>
    </w:p>
    <w:p w14:paraId="750F6464" w14:textId="77777777" w:rsidR="00937BCB" w:rsidRPr="00CF4942" w:rsidRDefault="00937BCB" w:rsidP="00DE3101">
      <w:pPr>
        <w:numPr>
          <w:ilvl w:val="2"/>
          <w:numId w:val="2"/>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Mr A, whose report must be served by </w:t>
      </w:r>
      <w:proofErr w:type="spellStart"/>
      <w:r w:rsidRPr="00CF4942">
        <w:rPr>
          <w:szCs w:val="24"/>
        </w:rPr>
        <w:t>xxxx</w:t>
      </w:r>
      <w:proofErr w:type="spellEnd"/>
      <w:r w:rsidRPr="00CF4942">
        <w:rPr>
          <w:szCs w:val="24"/>
        </w:rPr>
        <w:t>.</w:t>
      </w:r>
    </w:p>
    <w:p w14:paraId="6A8B47B0" w14:textId="77777777" w:rsidR="00937BCB" w:rsidRPr="00CF4942" w:rsidRDefault="00937BCB" w:rsidP="00DE3101">
      <w:pPr>
        <w:numPr>
          <w:ilvl w:val="2"/>
          <w:numId w:val="2"/>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Dr B, whose report must be served by </w:t>
      </w:r>
      <w:proofErr w:type="spellStart"/>
      <w:r w:rsidRPr="00CF4942">
        <w:rPr>
          <w:szCs w:val="24"/>
        </w:rPr>
        <w:t>xxxx</w:t>
      </w:r>
      <w:proofErr w:type="spellEnd"/>
      <w:r w:rsidRPr="00CF4942">
        <w:rPr>
          <w:szCs w:val="24"/>
        </w:rPr>
        <w:t>.</w:t>
      </w:r>
    </w:p>
    <w:p w14:paraId="7C4A1269" w14:textId="77777777" w:rsidR="00937BCB" w:rsidRPr="00CF4942" w:rsidRDefault="00937BCB" w:rsidP="00DE3101">
      <w:pPr>
        <w:numPr>
          <w:ilvl w:val="2"/>
          <w:numId w:val="2"/>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Ms C, whose report must be served by </w:t>
      </w:r>
      <w:proofErr w:type="spellStart"/>
      <w:r w:rsidRPr="00CF4942">
        <w:rPr>
          <w:szCs w:val="24"/>
        </w:rPr>
        <w:t>xxxx</w:t>
      </w:r>
      <w:proofErr w:type="spellEnd"/>
    </w:p>
    <w:p w14:paraId="40B1406E" w14:textId="77777777" w:rsidR="00937BCB" w:rsidRPr="00CF4942" w:rsidRDefault="00937BCB" w:rsidP="00DE3101">
      <w:pPr>
        <w:numPr>
          <w:ilvl w:val="1"/>
          <w:numId w:val="2"/>
        </w:numPr>
        <w:spacing w:before="100" w:beforeAutospacing="1" w:after="100" w:afterAutospacing="1" w:line="360" w:lineRule="auto"/>
        <w:jc w:val="both"/>
        <w:rPr>
          <w:szCs w:val="24"/>
        </w:rPr>
      </w:pPr>
      <w:r w:rsidRPr="00CF4942">
        <w:rPr>
          <w:szCs w:val="24"/>
        </w:rPr>
        <w:t>The Defendant:</w:t>
      </w:r>
    </w:p>
    <w:p w14:paraId="6B018038" w14:textId="77777777" w:rsidR="00937BCB" w:rsidRPr="00CF4942" w:rsidRDefault="00937BCB" w:rsidP="00DE3101">
      <w:pPr>
        <w:numPr>
          <w:ilvl w:val="2"/>
          <w:numId w:val="2"/>
        </w:numPr>
        <w:spacing w:before="100" w:beforeAutospacing="1" w:after="100" w:afterAutospacing="1" w:line="360" w:lineRule="auto"/>
        <w:jc w:val="both"/>
        <w:rPr>
          <w:szCs w:val="24"/>
        </w:rPr>
      </w:pPr>
      <w:r w:rsidRPr="00CF4942">
        <w:rPr>
          <w:szCs w:val="24"/>
        </w:rPr>
        <w:t xml:space="preserve">an expert </w:t>
      </w:r>
      <w:proofErr w:type="spellStart"/>
      <w:r w:rsidRPr="00CF4942">
        <w:rPr>
          <w:szCs w:val="24"/>
        </w:rPr>
        <w:t>xxxx</w:t>
      </w:r>
      <w:proofErr w:type="spellEnd"/>
      <w:r w:rsidRPr="00CF4942">
        <w:rPr>
          <w:szCs w:val="24"/>
        </w:rPr>
        <w:t xml:space="preserve">, namely Mr AA, whose report must be served by </w:t>
      </w:r>
      <w:proofErr w:type="spellStart"/>
      <w:r w:rsidRPr="00CF4942">
        <w:rPr>
          <w:szCs w:val="24"/>
        </w:rPr>
        <w:t>xxxx</w:t>
      </w:r>
      <w:proofErr w:type="spellEnd"/>
      <w:r w:rsidRPr="00CF4942">
        <w:rPr>
          <w:szCs w:val="24"/>
        </w:rPr>
        <w:t>.</w:t>
      </w:r>
    </w:p>
    <w:p w14:paraId="33A0D064" w14:textId="77777777" w:rsidR="00937BCB" w:rsidRPr="00CF4942" w:rsidRDefault="00937BCB" w:rsidP="00DE3101">
      <w:pPr>
        <w:numPr>
          <w:ilvl w:val="2"/>
          <w:numId w:val="2"/>
        </w:numPr>
        <w:spacing w:before="100" w:beforeAutospacing="1" w:after="100" w:afterAutospacing="1" w:line="360" w:lineRule="auto"/>
        <w:jc w:val="both"/>
        <w:rPr>
          <w:szCs w:val="24"/>
        </w:rPr>
      </w:pPr>
      <w:r w:rsidRPr="00CF4942">
        <w:rPr>
          <w:szCs w:val="24"/>
        </w:rPr>
        <w:t xml:space="preserve">an expert </w:t>
      </w:r>
      <w:proofErr w:type="spellStart"/>
      <w:r w:rsidRPr="00CF4942">
        <w:rPr>
          <w:szCs w:val="24"/>
        </w:rPr>
        <w:t>xxxx</w:t>
      </w:r>
      <w:proofErr w:type="spellEnd"/>
      <w:r w:rsidRPr="00CF4942">
        <w:rPr>
          <w:szCs w:val="24"/>
        </w:rPr>
        <w:t xml:space="preserve">, namely Mr BB, whose report must be served by </w:t>
      </w:r>
      <w:proofErr w:type="spellStart"/>
      <w:r w:rsidRPr="00CF4942">
        <w:rPr>
          <w:szCs w:val="24"/>
        </w:rPr>
        <w:t>xxxx</w:t>
      </w:r>
      <w:proofErr w:type="spellEnd"/>
      <w:r w:rsidRPr="00CF4942">
        <w:rPr>
          <w:szCs w:val="24"/>
        </w:rPr>
        <w:t>.</w:t>
      </w:r>
    </w:p>
    <w:p w14:paraId="49DA6D33" w14:textId="77777777" w:rsidR="00185415" w:rsidRPr="00CF4942" w:rsidRDefault="00937BCB" w:rsidP="00DE3101">
      <w:pPr>
        <w:numPr>
          <w:ilvl w:val="2"/>
          <w:numId w:val="2"/>
        </w:numPr>
        <w:spacing w:before="100" w:beforeAutospacing="1" w:after="100" w:afterAutospacing="1" w:line="360" w:lineRule="auto"/>
        <w:jc w:val="both"/>
        <w:rPr>
          <w:szCs w:val="24"/>
        </w:rPr>
      </w:pPr>
      <w:r w:rsidRPr="00CF4942">
        <w:rPr>
          <w:szCs w:val="24"/>
        </w:rPr>
        <w:t xml:space="preserve">an expert </w:t>
      </w:r>
      <w:proofErr w:type="spellStart"/>
      <w:r w:rsidRPr="00CF4942">
        <w:rPr>
          <w:szCs w:val="24"/>
        </w:rPr>
        <w:t>xxxx</w:t>
      </w:r>
      <w:proofErr w:type="spellEnd"/>
      <w:r w:rsidRPr="00CF4942">
        <w:rPr>
          <w:szCs w:val="24"/>
        </w:rPr>
        <w:t xml:space="preserve">, namely Ms CC, whose report must be served by </w:t>
      </w:r>
      <w:proofErr w:type="spellStart"/>
      <w:r w:rsidRPr="00CF4942">
        <w:rPr>
          <w:szCs w:val="24"/>
        </w:rPr>
        <w:t>xxxx</w:t>
      </w:r>
      <w:proofErr w:type="spellEnd"/>
      <w:r w:rsidRPr="00CF4942">
        <w:rPr>
          <w:szCs w:val="24"/>
        </w:rPr>
        <w:t>.</w:t>
      </w:r>
    </w:p>
    <w:p w14:paraId="13A93C4A" w14:textId="33DBA066" w:rsidR="00937BCB" w:rsidRPr="00CF4942" w:rsidRDefault="00185415" w:rsidP="00DE3101">
      <w:pPr>
        <w:pStyle w:val="ListParagraph"/>
        <w:numPr>
          <w:ilvl w:val="0"/>
          <w:numId w:val="2"/>
        </w:numPr>
        <w:spacing w:before="100" w:beforeAutospacing="1" w:after="100" w:afterAutospacing="1" w:line="360" w:lineRule="auto"/>
        <w:contextualSpacing w:val="0"/>
        <w:jc w:val="both"/>
        <w:rPr>
          <w:szCs w:val="24"/>
        </w:rPr>
      </w:pPr>
      <w:r w:rsidRPr="00CF4942">
        <w:rPr>
          <w:szCs w:val="24"/>
        </w:rPr>
        <w:t>I</w:t>
      </w:r>
      <w:r w:rsidR="00937BCB" w:rsidRPr="00CF4942">
        <w:rPr>
          <w:szCs w:val="24"/>
        </w:rPr>
        <w:t>n respect of condition, prognosis and quantification of damages the parties (the Defendants acting jointly)  each have permission to rely on the following written  expert evidence:</w:t>
      </w:r>
    </w:p>
    <w:p w14:paraId="5E7AAAAA" w14:textId="77777777" w:rsidR="00937BCB" w:rsidRPr="00CF4942" w:rsidRDefault="00937BCB" w:rsidP="00DE3101">
      <w:pPr>
        <w:numPr>
          <w:ilvl w:val="1"/>
          <w:numId w:val="4"/>
        </w:numPr>
        <w:spacing w:before="100" w:beforeAutospacing="1" w:after="100" w:afterAutospacing="1" w:line="360" w:lineRule="auto"/>
        <w:jc w:val="both"/>
        <w:rPr>
          <w:szCs w:val="24"/>
        </w:rPr>
      </w:pPr>
      <w:r w:rsidRPr="00CF4942">
        <w:rPr>
          <w:szCs w:val="24"/>
        </w:rPr>
        <w:t xml:space="preserve">The Claimant: </w:t>
      </w:r>
    </w:p>
    <w:p w14:paraId="22F2160C" w14:textId="77777777" w:rsidR="00937BCB" w:rsidRPr="00CF4942" w:rsidRDefault="00937BCB" w:rsidP="00DE3101">
      <w:pPr>
        <w:numPr>
          <w:ilvl w:val="2"/>
          <w:numId w:val="4"/>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Mr A, whose report must be served by </w:t>
      </w:r>
      <w:proofErr w:type="spellStart"/>
      <w:r w:rsidRPr="00CF4942">
        <w:rPr>
          <w:szCs w:val="24"/>
        </w:rPr>
        <w:t>xxxx</w:t>
      </w:r>
      <w:proofErr w:type="spellEnd"/>
      <w:r w:rsidRPr="00CF4942">
        <w:rPr>
          <w:szCs w:val="24"/>
        </w:rPr>
        <w:t>.</w:t>
      </w:r>
    </w:p>
    <w:p w14:paraId="3C449F7A" w14:textId="77777777" w:rsidR="00937BCB" w:rsidRPr="00CF4942" w:rsidRDefault="00937BCB" w:rsidP="00DE3101">
      <w:pPr>
        <w:numPr>
          <w:ilvl w:val="2"/>
          <w:numId w:val="4"/>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Dr B, whose report must be served by </w:t>
      </w:r>
      <w:proofErr w:type="spellStart"/>
      <w:r w:rsidRPr="00CF4942">
        <w:rPr>
          <w:szCs w:val="24"/>
        </w:rPr>
        <w:t>xxxx</w:t>
      </w:r>
      <w:proofErr w:type="spellEnd"/>
      <w:r w:rsidRPr="00CF4942">
        <w:rPr>
          <w:szCs w:val="24"/>
        </w:rPr>
        <w:t>.</w:t>
      </w:r>
    </w:p>
    <w:p w14:paraId="2FA6F259" w14:textId="77777777" w:rsidR="00937BCB" w:rsidRPr="00CF4942" w:rsidRDefault="00937BCB" w:rsidP="00DE3101">
      <w:pPr>
        <w:numPr>
          <w:ilvl w:val="2"/>
          <w:numId w:val="4"/>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Ms C, whose report must be served by </w:t>
      </w:r>
      <w:proofErr w:type="spellStart"/>
      <w:r w:rsidRPr="00CF4942">
        <w:rPr>
          <w:szCs w:val="24"/>
        </w:rPr>
        <w:t>xxxx</w:t>
      </w:r>
      <w:proofErr w:type="spellEnd"/>
      <w:r w:rsidRPr="00CF4942">
        <w:rPr>
          <w:szCs w:val="24"/>
        </w:rPr>
        <w:t>.</w:t>
      </w:r>
    </w:p>
    <w:p w14:paraId="32AC10CE" w14:textId="77777777" w:rsidR="00937BCB" w:rsidRPr="00CF4942" w:rsidRDefault="00937BCB" w:rsidP="00DE3101">
      <w:pPr>
        <w:numPr>
          <w:ilvl w:val="1"/>
          <w:numId w:val="4"/>
        </w:numPr>
        <w:spacing w:before="100" w:beforeAutospacing="1" w:after="100" w:afterAutospacing="1" w:line="360" w:lineRule="auto"/>
        <w:jc w:val="both"/>
        <w:rPr>
          <w:szCs w:val="24"/>
        </w:rPr>
      </w:pPr>
      <w:r w:rsidRPr="00CF4942">
        <w:rPr>
          <w:szCs w:val="24"/>
        </w:rPr>
        <w:t xml:space="preserve">The Defendant: </w:t>
      </w:r>
    </w:p>
    <w:p w14:paraId="0E0D8BD3" w14:textId="77777777" w:rsidR="00937BCB" w:rsidRPr="00CF4942" w:rsidRDefault="00937BCB" w:rsidP="00DE3101">
      <w:pPr>
        <w:numPr>
          <w:ilvl w:val="2"/>
          <w:numId w:val="4"/>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Mr AA, whose report must be served by </w:t>
      </w:r>
      <w:proofErr w:type="spellStart"/>
      <w:r w:rsidRPr="00CF4942">
        <w:rPr>
          <w:szCs w:val="24"/>
        </w:rPr>
        <w:t>xxxx</w:t>
      </w:r>
      <w:proofErr w:type="spellEnd"/>
      <w:r w:rsidRPr="00CF4942">
        <w:rPr>
          <w:szCs w:val="24"/>
        </w:rPr>
        <w:t>.</w:t>
      </w:r>
    </w:p>
    <w:p w14:paraId="38B9E117" w14:textId="77777777" w:rsidR="00937BCB" w:rsidRPr="00CF4942" w:rsidRDefault="00937BCB" w:rsidP="00DE3101">
      <w:pPr>
        <w:numPr>
          <w:ilvl w:val="2"/>
          <w:numId w:val="4"/>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Mr BB, whose report must be served by </w:t>
      </w:r>
      <w:proofErr w:type="spellStart"/>
      <w:r w:rsidRPr="00CF4942">
        <w:rPr>
          <w:szCs w:val="24"/>
        </w:rPr>
        <w:t>xxxx</w:t>
      </w:r>
      <w:proofErr w:type="spellEnd"/>
      <w:r w:rsidRPr="00CF4942">
        <w:rPr>
          <w:szCs w:val="24"/>
        </w:rPr>
        <w:t>.</w:t>
      </w:r>
    </w:p>
    <w:p w14:paraId="39DB9DD1" w14:textId="6B22FBA7" w:rsidR="00937BCB" w:rsidRPr="00CF4942" w:rsidRDefault="00937BCB" w:rsidP="00DE3101">
      <w:pPr>
        <w:numPr>
          <w:ilvl w:val="2"/>
          <w:numId w:val="4"/>
        </w:numPr>
        <w:spacing w:before="100" w:beforeAutospacing="1" w:after="100" w:afterAutospacing="1" w:line="360" w:lineRule="auto"/>
        <w:jc w:val="both"/>
        <w:rPr>
          <w:szCs w:val="24"/>
        </w:rPr>
      </w:pPr>
      <w:r w:rsidRPr="00CF4942">
        <w:rPr>
          <w:szCs w:val="24"/>
        </w:rPr>
        <w:t xml:space="preserve">an expert in </w:t>
      </w:r>
      <w:proofErr w:type="spellStart"/>
      <w:r w:rsidRPr="00CF4942">
        <w:rPr>
          <w:szCs w:val="24"/>
        </w:rPr>
        <w:t>xxxx</w:t>
      </w:r>
      <w:proofErr w:type="spellEnd"/>
      <w:r w:rsidRPr="00CF4942">
        <w:rPr>
          <w:szCs w:val="24"/>
        </w:rPr>
        <w:t xml:space="preserve">, namely Ms CC, whose report must be served by </w:t>
      </w:r>
      <w:proofErr w:type="spellStart"/>
      <w:r w:rsidRPr="00CF4942">
        <w:rPr>
          <w:szCs w:val="24"/>
        </w:rPr>
        <w:t>xxxx</w:t>
      </w:r>
      <w:proofErr w:type="spellEnd"/>
      <w:r w:rsidRPr="00CF4942">
        <w:rPr>
          <w:szCs w:val="24"/>
        </w:rPr>
        <w:t>.</w:t>
      </w:r>
    </w:p>
    <w:p w14:paraId="778DF0FA" w14:textId="52862AE5" w:rsidR="00937BCB" w:rsidRPr="00CF4942" w:rsidRDefault="00937BCB" w:rsidP="00DE3101">
      <w:pPr>
        <w:numPr>
          <w:ilvl w:val="0"/>
          <w:numId w:val="2"/>
        </w:numPr>
        <w:spacing w:before="100" w:beforeAutospacing="1" w:after="100" w:afterAutospacing="1" w:line="360" w:lineRule="auto"/>
        <w:jc w:val="both"/>
        <w:rPr>
          <w:szCs w:val="24"/>
        </w:rPr>
      </w:pPr>
      <w:r w:rsidRPr="00CF4942">
        <w:rPr>
          <w:szCs w:val="24"/>
        </w:rPr>
        <w:t xml:space="preserve">Unless the reports are agreed, there must be a without prejudice discussion between the experts of like discipline by 4pm on </w:t>
      </w:r>
      <w:proofErr w:type="spellStart"/>
      <w:r w:rsidRPr="00CF4942">
        <w:rPr>
          <w:szCs w:val="24"/>
        </w:rPr>
        <w:t>xxxx</w:t>
      </w:r>
      <w:proofErr w:type="spellEnd"/>
      <w:r w:rsidRPr="00CF4942">
        <w:rPr>
          <w:szCs w:val="24"/>
        </w:rPr>
        <w:t xml:space="preserve"> in which the experts will identify the issues between them and reach agreement if possible.  The experts will prepare for the court and sign a statement of the issues on which they agree and on which they disagree with a summary of their reasons in accordance with Rule 35.12 Civil Procedure Rules, and each statement must be sent to the parties to be received by 4pm on </w:t>
      </w:r>
      <w:proofErr w:type="spellStart"/>
      <w:r w:rsidRPr="00CF4942">
        <w:rPr>
          <w:szCs w:val="24"/>
        </w:rPr>
        <w:t>xxxx</w:t>
      </w:r>
      <w:proofErr w:type="spellEnd"/>
      <w:r w:rsidRPr="00CF4942">
        <w:rPr>
          <w:szCs w:val="24"/>
        </w:rPr>
        <w:t xml:space="preserve"> and in any event no later than 7 days after the discussion.</w:t>
      </w:r>
    </w:p>
    <w:p w14:paraId="2D5DAAE5" w14:textId="0A05B984" w:rsidR="00937BCB" w:rsidRPr="00CF4942" w:rsidRDefault="00F11BC7" w:rsidP="00DE3101">
      <w:pPr>
        <w:pStyle w:val="ListParagraph"/>
        <w:numPr>
          <w:ilvl w:val="0"/>
          <w:numId w:val="2"/>
        </w:numPr>
        <w:spacing w:before="100" w:beforeAutospacing="1" w:after="100" w:afterAutospacing="1" w:line="360" w:lineRule="auto"/>
        <w:contextualSpacing w:val="0"/>
        <w:jc w:val="both"/>
        <w:rPr>
          <w:szCs w:val="24"/>
        </w:rPr>
      </w:pPr>
      <w:r w:rsidRPr="00CF4942">
        <w:rPr>
          <w:szCs w:val="24"/>
        </w:rPr>
        <w:lastRenderedPageBreak/>
        <w:t>The use of agendas is not mandatory. Solicitors should consult with the experts to ensure that agendas are necessary and, if used, are reasonable in scope. The agenda should assist the experts and should not be in the form of leading questions or hostile in tone. An agenda must include a list of the outstanding issues in the preamble</w:t>
      </w:r>
      <w:r w:rsidR="00937BCB" w:rsidRPr="00CF4942">
        <w:rPr>
          <w:szCs w:val="24"/>
        </w:rPr>
        <w:t>.</w:t>
      </w:r>
    </w:p>
    <w:p w14:paraId="409F7B26" w14:textId="77777777" w:rsidR="00937BCB" w:rsidRPr="00CF4942" w:rsidRDefault="00937BCB" w:rsidP="00DE3101">
      <w:pPr>
        <w:pStyle w:val="ListParagraph"/>
        <w:spacing w:before="100" w:beforeAutospacing="1" w:after="100" w:afterAutospacing="1" w:line="360" w:lineRule="auto"/>
        <w:contextualSpacing w:val="0"/>
        <w:jc w:val="both"/>
        <w:rPr>
          <w:szCs w:val="24"/>
        </w:rPr>
      </w:pPr>
      <w:r w:rsidRPr="00CF4942">
        <w:rPr>
          <w:szCs w:val="24"/>
        </w:rPr>
        <w:t xml:space="preserve">The purpose of the discussions is to identify: </w:t>
      </w:r>
    </w:p>
    <w:p w14:paraId="3F251E24" w14:textId="77777777" w:rsidR="00F11BC7" w:rsidRPr="00CF4942" w:rsidRDefault="00937BCB" w:rsidP="00DE3101">
      <w:pPr>
        <w:pStyle w:val="ListParagraph"/>
        <w:numPr>
          <w:ilvl w:val="6"/>
          <w:numId w:val="4"/>
        </w:numPr>
        <w:tabs>
          <w:tab w:val="clear" w:pos="4680"/>
        </w:tabs>
        <w:spacing w:before="100" w:beforeAutospacing="1" w:after="100" w:afterAutospacing="1" w:line="360" w:lineRule="auto"/>
        <w:ind w:left="851"/>
        <w:contextualSpacing w:val="0"/>
        <w:jc w:val="both"/>
        <w:rPr>
          <w:szCs w:val="24"/>
        </w:rPr>
      </w:pPr>
      <w:r w:rsidRPr="00CF4942">
        <w:rPr>
          <w:szCs w:val="24"/>
        </w:rPr>
        <w:t xml:space="preserve">The extent of the agreement between the experts; </w:t>
      </w:r>
    </w:p>
    <w:p w14:paraId="18AE1667" w14:textId="77777777" w:rsidR="00F11BC7" w:rsidRPr="00CF4942" w:rsidRDefault="00937BCB" w:rsidP="00DE3101">
      <w:pPr>
        <w:pStyle w:val="ListParagraph"/>
        <w:numPr>
          <w:ilvl w:val="6"/>
          <w:numId w:val="4"/>
        </w:numPr>
        <w:tabs>
          <w:tab w:val="clear" w:pos="4680"/>
        </w:tabs>
        <w:spacing w:before="100" w:beforeAutospacing="1" w:after="100" w:afterAutospacing="1" w:line="360" w:lineRule="auto"/>
        <w:ind w:left="851"/>
        <w:contextualSpacing w:val="0"/>
        <w:jc w:val="both"/>
        <w:rPr>
          <w:szCs w:val="24"/>
        </w:rPr>
      </w:pPr>
      <w:r w:rsidRPr="00CF4942">
        <w:rPr>
          <w:szCs w:val="24"/>
        </w:rPr>
        <w:t xml:space="preserve">The points of disagreement and short reasons for disagreement; </w:t>
      </w:r>
    </w:p>
    <w:p w14:paraId="2D899EDE" w14:textId="77777777" w:rsidR="00F11BC7" w:rsidRPr="00CF4942" w:rsidRDefault="00937BCB" w:rsidP="00DE3101">
      <w:pPr>
        <w:pStyle w:val="ListParagraph"/>
        <w:numPr>
          <w:ilvl w:val="6"/>
          <w:numId w:val="4"/>
        </w:numPr>
        <w:tabs>
          <w:tab w:val="clear" w:pos="4680"/>
        </w:tabs>
        <w:spacing w:before="100" w:beforeAutospacing="1" w:after="100" w:afterAutospacing="1" w:line="360" w:lineRule="auto"/>
        <w:ind w:left="851"/>
        <w:contextualSpacing w:val="0"/>
        <w:jc w:val="both"/>
        <w:rPr>
          <w:szCs w:val="24"/>
        </w:rPr>
      </w:pPr>
      <w:r w:rsidRPr="00CF4942">
        <w:rPr>
          <w:szCs w:val="24"/>
        </w:rPr>
        <w:t xml:space="preserve">Action, if any, which may be taken to resolve the outstanding points of disagreement;  </w:t>
      </w:r>
    </w:p>
    <w:p w14:paraId="08B81911" w14:textId="061D4FC3" w:rsidR="00937BCB" w:rsidRPr="00CF4942" w:rsidRDefault="00937BCB" w:rsidP="00DE3101">
      <w:pPr>
        <w:pStyle w:val="ListParagraph"/>
        <w:numPr>
          <w:ilvl w:val="6"/>
          <w:numId w:val="4"/>
        </w:numPr>
        <w:tabs>
          <w:tab w:val="clear" w:pos="4680"/>
        </w:tabs>
        <w:spacing w:before="100" w:beforeAutospacing="1" w:after="100" w:afterAutospacing="1" w:line="360" w:lineRule="auto"/>
        <w:ind w:left="851"/>
        <w:contextualSpacing w:val="0"/>
        <w:jc w:val="both"/>
        <w:rPr>
          <w:szCs w:val="24"/>
        </w:rPr>
      </w:pPr>
      <w:r w:rsidRPr="00CF4942">
        <w:rPr>
          <w:szCs w:val="24"/>
        </w:rPr>
        <w:t>Any further material points not raised in the Agenda and the extent to which these issues are agreed</w:t>
      </w:r>
    </w:p>
    <w:p w14:paraId="60A4E023" w14:textId="77777777" w:rsidR="00F11BC7" w:rsidRPr="00CF4942" w:rsidRDefault="00F11BC7" w:rsidP="00DE3101">
      <w:pPr>
        <w:pStyle w:val="ListParagraph"/>
        <w:numPr>
          <w:ilvl w:val="0"/>
          <w:numId w:val="2"/>
        </w:numPr>
        <w:spacing w:before="100" w:beforeAutospacing="1" w:after="100" w:afterAutospacing="1" w:line="360" w:lineRule="auto"/>
        <w:contextualSpacing w:val="0"/>
        <w:jc w:val="both"/>
        <w:rPr>
          <w:szCs w:val="24"/>
        </w:rPr>
      </w:pPr>
      <w:r w:rsidRPr="00CF4942">
        <w:rPr>
          <w:b/>
          <w:szCs w:val="24"/>
        </w:rPr>
        <w:t>Unless otherwise agreed by all parties’ solicitors, after consulting with the experts</w:t>
      </w:r>
      <w:r w:rsidRPr="00CF4942">
        <w:rPr>
          <w:szCs w:val="24"/>
        </w:rPr>
        <w:t xml:space="preserve">, a draft Agenda which directs the experts to the remaining issues relevant to the experts’ discipline, as identified in the statements of case shall be prepared jointly by the Claimant’s solicitors and experts and sent to the Defendant’s solicitors for comment at least </w:t>
      </w:r>
      <w:r w:rsidRPr="00CF4942">
        <w:rPr>
          <w:b/>
          <w:szCs w:val="24"/>
        </w:rPr>
        <w:t>35 days</w:t>
      </w:r>
      <w:r w:rsidRPr="00CF4942">
        <w:rPr>
          <w:szCs w:val="24"/>
        </w:rPr>
        <w:t xml:space="preserve"> before the agreed date for the experts’ discussions.</w:t>
      </w:r>
    </w:p>
    <w:p w14:paraId="1564F644" w14:textId="77777777" w:rsidR="00F11BC7" w:rsidRPr="00CF4942" w:rsidRDefault="00F11BC7" w:rsidP="00DE3101">
      <w:pPr>
        <w:pStyle w:val="ListParagraph"/>
        <w:numPr>
          <w:ilvl w:val="0"/>
          <w:numId w:val="2"/>
        </w:numPr>
        <w:spacing w:before="100" w:beforeAutospacing="1" w:after="100" w:afterAutospacing="1" w:line="360" w:lineRule="auto"/>
        <w:contextualSpacing w:val="0"/>
        <w:jc w:val="both"/>
        <w:rPr>
          <w:szCs w:val="24"/>
        </w:rPr>
      </w:pPr>
      <w:r w:rsidRPr="00CF4942">
        <w:rPr>
          <w:szCs w:val="24"/>
        </w:rPr>
        <w:t xml:space="preserve">The Defendants shall </w:t>
      </w:r>
      <w:r w:rsidRPr="00CF4942">
        <w:rPr>
          <w:b/>
          <w:szCs w:val="24"/>
        </w:rPr>
        <w:t>within 21 days</w:t>
      </w:r>
      <w:r w:rsidRPr="00CF4942">
        <w:rPr>
          <w:szCs w:val="24"/>
        </w:rPr>
        <w:t xml:space="preserve"> of receipt agree the Agenda, or propose amendments</w:t>
      </w:r>
    </w:p>
    <w:p w14:paraId="002874C1" w14:textId="5677E472" w:rsidR="00937BCB" w:rsidRPr="00CF4942" w:rsidRDefault="00F11BC7" w:rsidP="00DE3101">
      <w:pPr>
        <w:pStyle w:val="ListParagraph"/>
        <w:numPr>
          <w:ilvl w:val="0"/>
          <w:numId w:val="2"/>
        </w:numPr>
        <w:spacing w:before="100" w:beforeAutospacing="1" w:after="100" w:afterAutospacing="1" w:line="360" w:lineRule="auto"/>
        <w:contextualSpacing w:val="0"/>
        <w:jc w:val="both"/>
        <w:rPr>
          <w:szCs w:val="24"/>
        </w:rPr>
      </w:pPr>
      <w:r w:rsidRPr="00CF4942">
        <w:rPr>
          <w:b/>
          <w:szCs w:val="24"/>
        </w:rPr>
        <w:t>7 days</w:t>
      </w:r>
      <w:r w:rsidRPr="00CF4942">
        <w:rPr>
          <w:szCs w:val="24"/>
        </w:rPr>
        <w:t xml:space="preserve"> thereafter all solicitors shall use their best endeavours to agree the Agenda. Points of disagreement should be on matters of real substance and not semantics or on matters the experts could resolve of their own accord at the discussion. In default of agreement, both versions shall be considered at the discussions. Agendas, when used, shall be provided to the experts not less than </w:t>
      </w:r>
      <w:r w:rsidRPr="00CF4942">
        <w:rPr>
          <w:b/>
          <w:szCs w:val="24"/>
        </w:rPr>
        <w:t>7 days</w:t>
      </w:r>
      <w:r w:rsidRPr="00CF4942">
        <w:rPr>
          <w:szCs w:val="24"/>
        </w:rPr>
        <w:t xml:space="preserve"> before the date fixed for discussions</w:t>
      </w:r>
    </w:p>
    <w:p w14:paraId="57DD04B9" w14:textId="77777777" w:rsidR="00F11BC7" w:rsidRPr="00CF4942" w:rsidRDefault="00F11BC7" w:rsidP="00DE3101">
      <w:pPr>
        <w:numPr>
          <w:ilvl w:val="0"/>
          <w:numId w:val="2"/>
        </w:numPr>
        <w:spacing w:before="100" w:beforeAutospacing="1" w:after="100" w:afterAutospacing="1" w:line="360" w:lineRule="auto"/>
        <w:jc w:val="both"/>
        <w:rPr>
          <w:szCs w:val="24"/>
        </w:rPr>
      </w:pPr>
      <w:r w:rsidRPr="00CF4942">
        <w:rPr>
          <w:szCs w:val="24"/>
        </w:rPr>
        <w:t>A copy of this order must be served on each expert with the expert's instructions.</w:t>
      </w:r>
    </w:p>
    <w:p w14:paraId="54555982" w14:textId="77777777" w:rsidR="00F11BC7" w:rsidRPr="00CF4942" w:rsidRDefault="00F11BC7" w:rsidP="00DE3101">
      <w:pPr>
        <w:numPr>
          <w:ilvl w:val="0"/>
          <w:numId w:val="2"/>
        </w:numPr>
        <w:spacing w:before="100" w:beforeAutospacing="1" w:after="100" w:afterAutospacing="1" w:line="360" w:lineRule="auto"/>
        <w:jc w:val="both"/>
        <w:rPr>
          <w:szCs w:val="24"/>
        </w:rPr>
      </w:pPr>
      <w:r w:rsidRPr="00CF4942">
        <w:rPr>
          <w:szCs w:val="24"/>
        </w:rPr>
        <w:t xml:space="preserve">The parties have permission to call oral evidence of the experts in </w:t>
      </w:r>
      <w:proofErr w:type="spellStart"/>
      <w:r w:rsidRPr="00CF4942">
        <w:rPr>
          <w:szCs w:val="24"/>
        </w:rPr>
        <w:t>xxxx</w:t>
      </w:r>
      <w:proofErr w:type="spellEnd"/>
      <w:r w:rsidRPr="00CF4942">
        <w:rPr>
          <w:szCs w:val="24"/>
        </w:rPr>
        <w:t xml:space="preserve"> </w:t>
      </w:r>
      <w:bookmarkStart w:id="0" w:name="_Hlk29544621"/>
      <w:r w:rsidRPr="00CF4942">
        <w:rPr>
          <w:szCs w:val="24"/>
        </w:rPr>
        <w:t xml:space="preserve">limited to issues remaining in dispute between experts of like discipline . </w:t>
      </w:r>
      <w:bookmarkEnd w:id="0"/>
    </w:p>
    <w:p w14:paraId="63EDBDF5" w14:textId="77777777" w:rsidR="00F11BC7" w:rsidRPr="00CF4942" w:rsidRDefault="00F11BC7" w:rsidP="00DE3101">
      <w:pPr>
        <w:numPr>
          <w:ilvl w:val="0"/>
          <w:numId w:val="2"/>
        </w:numPr>
        <w:spacing w:before="100" w:beforeAutospacing="1" w:after="100" w:afterAutospacing="1" w:line="360" w:lineRule="auto"/>
        <w:jc w:val="both"/>
        <w:rPr>
          <w:szCs w:val="24"/>
        </w:rPr>
      </w:pPr>
      <w:r w:rsidRPr="00CF4942">
        <w:rPr>
          <w:szCs w:val="24"/>
        </w:rPr>
        <w:t xml:space="preserve">Any unpublished literature upon which any expert witness proposes to rely must be served at the same time as service of his report together with a list of published literature.  Any supplementary literature upon which any expert witness relies must be notified to all parties at least one month before trial.  No expert witness may rely upon </w:t>
      </w:r>
      <w:r w:rsidRPr="00CF4942">
        <w:rPr>
          <w:szCs w:val="24"/>
        </w:rPr>
        <w:lastRenderedPageBreak/>
        <w:t>any publications that have not been disclosed in accordance with this order without the permission of the trial judge subject to costs as appropriate.</w:t>
      </w:r>
    </w:p>
    <w:p w14:paraId="222B827E" w14:textId="77777777" w:rsidR="00F11BC7" w:rsidRPr="00CF4942" w:rsidRDefault="00F11BC7" w:rsidP="00DE3101">
      <w:pPr>
        <w:numPr>
          <w:ilvl w:val="0"/>
          <w:numId w:val="2"/>
        </w:numPr>
        <w:spacing w:before="100" w:beforeAutospacing="1" w:after="100" w:afterAutospacing="1" w:line="360" w:lineRule="auto"/>
        <w:jc w:val="both"/>
        <w:rPr>
          <w:szCs w:val="24"/>
        </w:rPr>
      </w:pPr>
      <w:r w:rsidRPr="00CF4942">
        <w:rPr>
          <w:szCs w:val="24"/>
        </w:rPr>
        <w:t>Experts will, at the time of producing their reports, incorporate details of any employment or activity which raises a possible conflict of interest.</w:t>
      </w:r>
    </w:p>
    <w:p w14:paraId="41E98A03" w14:textId="77777777" w:rsidR="00F11BC7" w:rsidRPr="00CF4942" w:rsidRDefault="00F11BC7" w:rsidP="00DE3101">
      <w:pPr>
        <w:numPr>
          <w:ilvl w:val="0"/>
          <w:numId w:val="2"/>
        </w:numPr>
        <w:spacing w:before="100" w:beforeAutospacing="1" w:after="100" w:afterAutospacing="1" w:line="360" w:lineRule="auto"/>
        <w:jc w:val="both"/>
        <w:rPr>
          <w:szCs w:val="24"/>
        </w:rPr>
      </w:pPr>
      <w:r w:rsidRPr="00CF4942">
        <w:rPr>
          <w:szCs w:val="24"/>
        </w:rPr>
        <w:t>For the avoidance of doubt, experts do not require the authorisation of solicitor or counsel before signing a joint statement.</w:t>
      </w:r>
    </w:p>
    <w:p w14:paraId="29C6812D" w14:textId="4172F92D" w:rsidR="00F11BC7" w:rsidRPr="00CF4942" w:rsidRDefault="00F11BC7" w:rsidP="00DE3101">
      <w:pPr>
        <w:numPr>
          <w:ilvl w:val="0"/>
          <w:numId w:val="2"/>
        </w:numPr>
        <w:spacing w:before="100" w:beforeAutospacing="1" w:after="100" w:afterAutospacing="1" w:line="360" w:lineRule="auto"/>
        <w:jc w:val="both"/>
        <w:rPr>
          <w:szCs w:val="24"/>
        </w:rPr>
      </w:pPr>
      <w:r w:rsidRPr="00CF4942">
        <w:rPr>
          <w:szCs w:val="24"/>
        </w:rPr>
        <w:t>If an expert radically alters an opinion previously recorded, the joint statement should include a note or addendum by that expert explaining the change of opinion.</w:t>
      </w:r>
    </w:p>
    <w:p w14:paraId="67FEE389" w14:textId="77777777" w:rsidR="009822B3" w:rsidRPr="00CF4942" w:rsidRDefault="009822B3" w:rsidP="00DE3101">
      <w:pPr>
        <w:spacing w:before="100" w:beforeAutospacing="1" w:after="100" w:afterAutospacing="1" w:line="360" w:lineRule="auto"/>
        <w:jc w:val="both"/>
        <w:rPr>
          <w:szCs w:val="24"/>
          <w:u w:val="single"/>
        </w:rPr>
      </w:pPr>
      <w:r w:rsidRPr="00CF4942">
        <w:rPr>
          <w:szCs w:val="24"/>
          <w:u w:val="single"/>
        </w:rPr>
        <w:t>The Schedule of Loss and the Counter Schedule</w:t>
      </w:r>
    </w:p>
    <w:p w14:paraId="0FE4AB5A" w14:textId="77777777" w:rsidR="00F11BC7" w:rsidRPr="00CF4942" w:rsidRDefault="00F11BC7" w:rsidP="00DE3101">
      <w:pPr>
        <w:numPr>
          <w:ilvl w:val="0"/>
          <w:numId w:val="2"/>
        </w:numPr>
        <w:spacing w:before="100" w:beforeAutospacing="1" w:after="100" w:afterAutospacing="1" w:line="360" w:lineRule="auto"/>
        <w:jc w:val="both"/>
        <w:rPr>
          <w:szCs w:val="24"/>
        </w:rPr>
      </w:pPr>
      <w:r w:rsidRPr="00CF4942">
        <w:rPr>
          <w:szCs w:val="24"/>
        </w:rPr>
        <w:t>Schedules of Loss must be updated as follows:</w:t>
      </w:r>
    </w:p>
    <w:p w14:paraId="528E4A73" w14:textId="77777777" w:rsidR="00F11BC7" w:rsidRPr="00CF4942" w:rsidRDefault="00F11BC7" w:rsidP="00DE3101">
      <w:pPr>
        <w:numPr>
          <w:ilvl w:val="1"/>
          <w:numId w:val="2"/>
        </w:numPr>
        <w:spacing w:before="100" w:beforeAutospacing="1" w:after="100" w:afterAutospacing="1" w:line="360" w:lineRule="auto"/>
        <w:jc w:val="both"/>
        <w:rPr>
          <w:szCs w:val="24"/>
        </w:rPr>
      </w:pPr>
      <w:r w:rsidRPr="00CF4942">
        <w:rPr>
          <w:b/>
          <w:szCs w:val="24"/>
        </w:rPr>
        <w:t xml:space="preserve">By 4pm on </w:t>
      </w:r>
      <w:proofErr w:type="spellStart"/>
      <w:r w:rsidRPr="00CF4942">
        <w:rPr>
          <w:b/>
          <w:szCs w:val="24"/>
        </w:rPr>
        <w:t>xxxx</w:t>
      </w:r>
      <w:proofErr w:type="spellEnd"/>
      <w:r w:rsidRPr="00CF4942">
        <w:rPr>
          <w:szCs w:val="24"/>
        </w:rPr>
        <w:t xml:space="preserve"> the Claimant must send an up to date schedule of loss to the Defendant.</w:t>
      </w:r>
    </w:p>
    <w:p w14:paraId="15EF276B" w14:textId="77777777" w:rsidR="00F11BC7" w:rsidRPr="00CF4942" w:rsidRDefault="00F11BC7" w:rsidP="00DE3101">
      <w:pPr>
        <w:numPr>
          <w:ilvl w:val="1"/>
          <w:numId w:val="2"/>
        </w:numPr>
        <w:spacing w:before="100" w:beforeAutospacing="1" w:after="100" w:afterAutospacing="1" w:line="360" w:lineRule="auto"/>
        <w:jc w:val="both"/>
        <w:rPr>
          <w:szCs w:val="24"/>
        </w:rPr>
      </w:pPr>
      <w:r w:rsidRPr="00CF4942">
        <w:rPr>
          <w:b/>
          <w:szCs w:val="24"/>
        </w:rPr>
        <w:t xml:space="preserve">By 4pm on </w:t>
      </w:r>
      <w:proofErr w:type="spellStart"/>
      <w:r w:rsidRPr="00CF4942">
        <w:rPr>
          <w:b/>
          <w:szCs w:val="24"/>
        </w:rPr>
        <w:t>xxxx</w:t>
      </w:r>
      <w:proofErr w:type="spellEnd"/>
      <w:r w:rsidRPr="00CF4942">
        <w:rPr>
          <w:szCs w:val="24"/>
        </w:rPr>
        <w:t xml:space="preserve"> the Defendant, in the event of challenge, must send an up to date counter-schedule of loss to the Claimant.</w:t>
      </w:r>
    </w:p>
    <w:p w14:paraId="5083DE27" w14:textId="64D0E365" w:rsidR="00F11BC7" w:rsidRPr="00CF4942" w:rsidRDefault="00F11BC7" w:rsidP="00DE3101">
      <w:pPr>
        <w:numPr>
          <w:ilvl w:val="1"/>
          <w:numId w:val="2"/>
        </w:numPr>
        <w:spacing w:before="100" w:beforeAutospacing="1" w:after="100" w:afterAutospacing="1" w:line="360" w:lineRule="auto"/>
        <w:jc w:val="both"/>
        <w:rPr>
          <w:szCs w:val="24"/>
        </w:rPr>
      </w:pPr>
      <w:r w:rsidRPr="00CF4942">
        <w:rPr>
          <w:szCs w:val="24"/>
        </w:rPr>
        <w:t>The schedule and counter-schedule must contain a statement setting out that party’s case on the issue of periodical payments pursuant to Rule 41.5 Civil Procedure Rules</w:t>
      </w:r>
    </w:p>
    <w:p w14:paraId="5C748A3A" w14:textId="77777777" w:rsidR="00B11024" w:rsidRPr="00CF4942" w:rsidRDefault="00B11024" w:rsidP="00DE3101">
      <w:pPr>
        <w:spacing w:before="100" w:beforeAutospacing="1" w:after="100" w:afterAutospacing="1" w:line="360" w:lineRule="auto"/>
        <w:jc w:val="both"/>
        <w:rPr>
          <w:szCs w:val="24"/>
          <w:u w:val="single"/>
        </w:rPr>
      </w:pPr>
      <w:r w:rsidRPr="00CF4942">
        <w:rPr>
          <w:szCs w:val="24"/>
          <w:u w:val="single"/>
        </w:rPr>
        <w:t>Trial Directions</w:t>
      </w:r>
    </w:p>
    <w:p w14:paraId="6D8EB61F" w14:textId="77777777" w:rsidR="00F11BC7" w:rsidRPr="00CF4942" w:rsidRDefault="00F11BC7" w:rsidP="00DE3101">
      <w:pPr>
        <w:numPr>
          <w:ilvl w:val="0"/>
          <w:numId w:val="2"/>
        </w:numPr>
        <w:spacing w:before="100" w:beforeAutospacing="1" w:after="100" w:afterAutospacing="1" w:line="360" w:lineRule="auto"/>
        <w:jc w:val="both"/>
        <w:rPr>
          <w:szCs w:val="24"/>
        </w:rPr>
      </w:pPr>
      <w:r w:rsidRPr="00CF4942">
        <w:rPr>
          <w:szCs w:val="24"/>
        </w:rPr>
        <w:t>The trial will be listed as follows.</w:t>
      </w:r>
    </w:p>
    <w:p w14:paraId="16EDA412" w14:textId="48DE676C" w:rsidR="00F11BC7" w:rsidRPr="00CF4942" w:rsidRDefault="00F11BC7" w:rsidP="00DE3101">
      <w:pPr>
        <w:numPr>
          <w:ilvl w:val="1"/>
          <w:numId w:val="2"/>
        </w:numPr>
        <w:spacing w:before="100" w:beforeAutospacing="1" w:after="100" w:afterAutospacing="1" w:line="360" w:lineRule="auto"/>
        <w:jc w:val="both"/>
        <w:rPr>
          <w:szCs w:val="24"/>
        </w:rPr>
      </w:pPr>
      <w:r w:rsidRPr="00CF4942">
        <w:rPr>
          <w:b/>
          <w:szCs w:val="24"/>
        </w:rPr>
        <w:t xml:space="preserve"> </w:t>
      </w:r>
      <w:r w:rsidRPr="00CF4942">
        <w:rPr>
          <w:szCs w:val="24"/>
        </w:rPr>
        <w:t xml:space="preserve">A copy of this sealed order will be sent to the Queen’s Bench Judges Listing Office who will notify all parties of a listing appointment for a trial date or period within the trial window, which will usually be six weeks from the date the order is sealed.  If parties have any queries in relation to the listing </w:t>
      </w:r>
      <w:proofErr w:type="gramStart"/>
      <w:r w:rsidRPr="00CF4942">
        <w:rPr>
          <w:szCs w:val="24"/>
        </w:rPr>
        <w:t>appointment</w:t>
      </w:r>
      <w:proofErr w:type="gramEnd"/>
      <w:r w:rsidRPr="00CF4942">
        <w:rPr>
          <w:szCs w:val="24"/>
        </w:rPr>
        <w:t xml:space="preserve"> they should contact Queen’s Bench Judges Listing on </w:t>
      </w:r>
      <w:r w:rsidR="00D84FA1" w:rsidRPr="00D84FA1">
        <w:t>QBJudgesListingOffice@Justice.gov.uk</w:t>
      </w:r>
    </w:p>
    <w:p w14:paraId="3E7EA15A" w14:textId="77777777" w:rsidR="002743C6" w:rsidRPr="00CF4942" w:rsidRDefault="00F11BC7" w:rsidP="00DE3101">
      <w:pPr>
        <w:numPr>
          <w:ilvl w:val="1"/>
          <w:numId w:val="2"/>
        </w:numPr>
        <w:spacing w:before="100" w:beforeAutospacing="1" w:after="100" w:afterAutospacing="1" w:line="360" w:lineRule="auto"/>
        <w:jc w:val="both"/>
        <w:rPr>
          <w:szCs w:val="24"/>
        </w:rPr>
      </w:pPr>
      <w:r w:rsidRPr="00CF4942">
        <w:rPr>
          <w:szCs w:val="24"/>
        </w:rPr>
        <w:t>Trial:  Judge alone; London</w:t>
      </w:r>
    </w:p>
    <w:p w14:paraId="0B5B9020" w14:textId="79680CD4" w:rsidR="00F11BC7" w:rsidRPr="00CF4942" w:rsidRDefault="00F11BC7" w:rsidP="00DE3101">
      <w:pPr>
        <w:numPr>
          <w:ilvl w:val="1"/>
          <w:numId w:val="2"/>
        </w:numPr>
        <w:spacing w:before="100" w:beforeAutospacing="1" w:after="100" w:afterAutospacing="1" w:line="360" w:lineRule="auto"/>
        <w:jc w:val="both"/>
        <w:rPr>
          <w:szCs w:val="24"/>
        </w:rPr>
      </w:pPr>
      <w:r w:rsidRPr="00CF4942">
        <w:rPr>
          <w:szCs w:val="24"/>
        </w:rPr>
        <w:t xml:space="preserve">Category:  [B] or [C] </w:t>
      </w:r>
      <w:r w:rsidR="002743C6" w:rsidRPr="00CF4942">
        <w:rPr>
          <w:szCs w:val="24"/>
        </w:rPr>
        <w:t>[</w:t>
      </w:r>
      <w:r w:rsidRPr="00CF4942">
        <w:rPr>
          <w:szCs w:val="24"/>
        </w:rPr>
        <w:t xml:space="preserve">Certified fit for High Court Judge if </w:t>
      </w:r>
      <w:r w:rsidR="002743C6" w:rsidRPr="00CF4942">
        <w:rPr>
          <w:szCs w:val="24"/>
        </w:rPr>
        <w:t>available]</w:t>
      </w:r>
    </w:p>
    <w:p w14:paraId="52B4BFF7" w14:textId="77777777" w:rsidR="00F11BC7" w:rsidRPr="00CF4942" w:rsidRDefault="00F11BC7" w:rsidP="00DE3101">
      <w:pPr>
        <w:numPr>
          <w:ilvl w:val="1"/>
          <w:numId w:val="2"/>
        </w:numPr>
        <w:spacing w:before="100" w:beforeAutospacing="1" w:after="100" w:afterAutospacing="1" w:line="360" w:lineRule="auto"/>
        <w:jc w:val="both"/>
        <w:rPr>
          <w:szCs w:val="24"/>
        </w:rPr>
      </w:pPr>
      <w:r w:rsidRPr="00CF4942">
        <w:rPr>
          <w:szCs w:val="24"/>
        </w:rPr>
        <w:t xml:space="preserve">Trial window:  from </w:t>
      </w:r>
      <w:proofErr w:type="spellStart"/>
      <w:r w:rsidRPr="00CF4942">
        <w:rPr>
          <w:szCs w:val="24"/>
        </w:rPr>
        <w:t>xxxx</w:t>
      </w:r>
      <w:proofErr w:type="spellEnd"/>
      <w:r w:rsidRPr="00CF4942">
        <w:rPr>
          <w:szCs w:val="24"/>
        </w:rPr>
        <w:t xml:space="preserve"> to </w:t>
      </w:r>
      <w:proofErr w:type="spellStart"/>
      <w:r w:rsidRPr="00CF4942">
        <w:rPr>
          <w:szCs w:val="24"/>
        </w:rPr>
        <w:t>xxxx</w:t>
      </w:r>
      <w:proofErr w:type="spellEnd"/>
      <w:r w:rsidRPr="00CF4942">
        <w:rPr>
          <w:szCs w:val="24"/>
        </w:rPr>
        <w:t xml:space="preserve"> inclusive.</w:t>
      </w:r>
    </w:p>
    <w:p w14:paraId="08E42065" w14:textId="32BB8827" w:rsidR="00F11BC7" w:rsidRPr="00CF4942" w:rsidRDefault="00F11BC7" w:rsidP="00DE3101">
      <w:pPr>
        <w:numPr>
          <w:ilvl w:val="1"/>
          <w:numId w:val="2"/>
        </w:numPr>
        <w:spacing w:before="100" w:beforeAutospacing="1" w:after="100" w:afterAutospacing="1" w:line="360" w:lineRule="auto"/>
        <w:jc w:val="both"/>
        <w:rPr>
          <w:szCs w:val="24"/>
        </w:rPr>
      </w:pPr>
      <w:r w:rsidRPr="00CF4942">
        <w:rPr>
          <w:szCs w:val="24"/>
        </w:rPr>
        <w:t>Time estimate:  x days</w:t>
      </w:r>
    </w:p>
    <w:p w14:paraId="242B21D1" w14:textId="77777777" w:rsidR="00B1248C" w:rsidRPr="00CF4942" w:rsidRDefault="00F11BC7" w:rsidP="00DE3101">
      <w:pPr>
        <w:numPr>
          <w:ilvl w:val="1"/>
          <w:numId w:val="2"/>
        </w:numPr>
        <w:spacing w:before="100" w:beforeAutospacing="1" w:after="100" w:afterAutospacing="1" w:line="360" w:lineRule="auto"/>
        <w:jc w:val="both"/>
        <w:rPr>
          <w:szCs w:val="24"/>
        </w:rPr>
      </w:pPr>
      <w:r w:rsidRPr="00CF4942">
        <w:rPr>
          <w:szCs w:val="24"/>
        </w:rPr>
        <w:t>The parties shall file Pre-Trial Check Lists as directed by the Queen’s Bench Judges’ Listing.</w:t>
      </w:r>
    </w:p>
    <w:p w14:paraId="186833D7" w14:textId="51562134" w:rsidR="002743C6" w:rsidRPr="00CF4942" w:rsidRDefault="002743C6" w:rsidP="00DE3101">
      <w:pPr>
        <w:pStyle w:val="ListParagraph"/>
        <w:numPr>
          <w:ilvl w:val="0"/>
          <w:numId w:val="2"/>
        </w:numPr>
        <w:spacing w:before="100" w:beforeAutospacing="1" w:after="100" w:afterAutospacing="1" w:line="360" w:lineRule="auto"/>
        <w:contextualSpacing w:val="0"/>
        <w:jc w:val="both"/>
        <w:rPr>
          <w:szCs w:val="24"/>
        </w:rPr>
      </w:pPr>
      <w:r w:rsidRPr="00CF4942">
        <w:rPr>
          <w:szCs w:val="24"/>
        </w:rPr>
        <w:lastRenderedPageBreak/>
        <w:t>Pre-trial directions are as follows:</w:t>
      </w:r>
    </w:p>
    <w:p w14:paraId="70996EE8" w14:textId="77777777" w:rsidR="002743C6" w:rsidRPr="00CF4942" w:rsidRDefault="002743C6" w:rsidP="00DE3101">
      <w:pPr>
        <w:numPr>
          <w:ilvl w:val="1"/>
          <w:numId w:val="8"/>
        </w:numPr>
        <w:spacing w:before="100" w:beforeAutospacing="1" w:after="100" w:afterAutospacing="1" w:line="360" w:lineRule="auto"/>
        <w:jc w:val="both"/>
        <w:rPr>
          <w:szCs w:val="24"/>
        </w:rPr>
      </w:pPr>
      <w:r w:rsidRPr="00CF4942">
        <w:rPr>
          <w:szCs w:val="24"/>
        </w:rPr>
        <w:t>There will be a review case management conference in Room XXX on</w:t>
      </w:r>
      <w:r w:rsidRPr="00CF4942">
        <w:rPr>
          <w:b/>
          <w:szCs w:val="24"/>
        </w:rPr>
        <w:t xml:space="preserve"> [</w:t>
      </w:r>
      <w:r w:rsidRPr="00CF4942">
        <w:rPr>
          <w:b/>
          <w:i/>
          <w:szCs w:val="24"/>
        </w:rPr>
        <w:t>date</w:t>
      </w:r>
      <w:r w:rsidRPr="00CF4942">
        <w:rPr>
          <w:b/>
          <w:szCs w:val="24"/>
        </w:rPr>
        <w:t xml:space="preserve">] </w:t>
      </w:r>
      <w:r w:rsidRPr="00CF4942">
        <w:rPr>
          <w:szCs w:val="24"/>
        </w:rPr>
        <w:t>at [</w:t>
      </w:r>
      <w:r w:rsidRPr="00CF4942">
        <w:rPr>
          <w:b/>
          <w:i/>
          <w:szCs w:val="24"/>
        </w:rPr>
        <w:t>time</w:t>
      </w:r>
      <w:r w:rsidRPr="00CF4942">
        <w:rPr>
          <w:b/>
          <w:szCs w:val="24"/>
        </w:rPr>
        <w:t>]</w:t>
      </w:r>
      <w:r w:rsidRPr="00CF4942">
        <w:rPr>
          <w:szCs w:val="24"/>
        </w:rPr>
        <w:t xml:space="preserve"> with a time estimate of [      ]</w:t>
      </w:r>
    </w:p>
    <w:p w14:paraId="4940B623" w14:textId="77777777" w:rsidR="002743C6" w:rsidRPr="00CF4942" w:rsidRDefault="002743C6" w:rsidP="00DE3101">
      <w:pPr>
        <w:numPr>
          <w:ilvl w:val="1"/>
          <w:numId w:val="8"/>
        </w:numPr>
        <w:spacing w:before="100" w:beforeAutospacing="1" w:after="100" w:afterAutospacing="1" w:line="360" w:lineRule="auto"/>
        <w:jc w:val="both"/>
        <w:rPr>
          <w:szCs w:val="24"/>
        </w:rPr>
      </w:pPr>
      <w:r w:rsidRPr="00CF4942">
        <w:rPr>
          <w:szCs w:val="24"/>
        </w:rPr>
        <w:t>The parties do email the Master …. their draft orders and case summaries in word format by [two days before hearing].</w:t>
      </w:r>
    </w:p>
    <w:p w14:paraId="5298404B" w14:textId="77777777" w:rsidR="002743C6" w:rsidRPr="00CF4942" w:rsidRDefault="002743C6" w:rsidP="00DE3101">
      <w:pPr>
        <w:numPr>
          <w:ilvl w:val="1"/>
          <w:numId w:val="8"/>
        </w:numPr>
        <w:spacing w:before="100" w:beforeAutospacing="1" w:after="100" w:afterAutospacing="1" w:line="360" w:lineRule="auto"/>
        <w:jc w:val="both"/>
        <w:rPr>
          <w:szCs w:val="24"/>
        </w:rPr>
      </w:pPr>
      <w:r w:rsidRPr="00CF4942">
        <w:rPr>
          <w:szCs w:val="24"/>
        </w:rPr>
        <w:t>If there are no substantial issues between the parties and all parties agree, one party may email the Master to request that the hearing be conducted by telephone and in accordance with Practice Direction 23A Civil Procedure Rules.</w:t>
      </w:r>
    </w:p>
    <w:p w14:paraId="35E76672" w14:textId="77777777" w:rsidR="002743C6" w:rsidRPr="00CF4942" w:rsidRDefault="002743C6" w:rsidP="00DE3101">
      <w:pPr>
        <w:numPr>
          <w:ilvl w:val="1"/>
          <w:numId w:val="8"/>
        </w:numPr>
        <w:spacing w:before="100" w:beforeAutospacing="1" w:after="100" w:afterAutospacing="1" w:line="360" w:lineRule="auto"/>
        <w:jc w:val="both"/>
        <w:rPr>
          <w:szCs w:val="24"/>
        </w:rPr>
      </w:pPr>
      <w:r w:rsidRPr="00CF4942">
        <w:rPr>
          <w:szCs w:val="24"/>
        </w:rPr>
        <w:t xml:space="preserve">At least </w:t>
      </w:r>
      <w:r w:rsidRPr="00CF4942">
        <w:rPr>
          <w:b/>
          <w:szCs w:val="24"/>
        </w:rPr>
        <w:t>3 clear days</w:t>
      </w:r>
      <w:r w:rsidRPr="00CF4942">
        <w:rPr>
          <w:szCs w:val="24"/>
        </w:rPr>
        <w:t xml:space="preserve"> before the case management conference the Claimant must file and send to the Defendant preferably agreed and by email:</w:t>
      </w:r>
    </w:p>
    <w:p w14:paraId="0951FE28" w14:textId="77777777" w:rsidR="002743C6" w:rsidRPr="00CF4942" w:rsidRDefault="002743C6" w:rsidP="00DE3101">
      <w:pPr>
        <w:numPr>
          <w:ilvl w:val="2"/>
          <w:numId w:val="8"/>
        </w:numPr>
        <w:spacing w:before="100" w:beforeAutospacing="1" w:after="100" w:afterAutospacing="1" w:line="360" w:lineRule="auto"/>
        <w:jc w:val="both"/>
        <w:rPr>
          <w:szCs w:val="24"/>
        </w:rPr>
      </w:pPr>
      <w:r w:rsidRPr="00CF4942">
        <w:rPr>
          <w:szCs w:val="24"/>
        </w:rPr>
        <w:t>any draft directions;</w:t>
      </w:r>
    </w:p>
    <w:p w14:paraId="298FF6BC" w14:textId="77777777" w:rsidR="002743C6" w:rsidRPr="00CF4942" w:rsidRDefault="002743C6" w:rsidP="00DE3101">
      <w:pPr>
        <w:numPr>
          <w:ilvl w:val="2"/>
          <w:numId w:val="8"/>
        </w:numPr>
        <w:spacing w:before="100" w:beforeAutospacing="1" w:after="100" w:afterAutospacing="1" w:line="360" w:lineRule="auto"/>
        <w:jc w:val="both"/>
        <w:rPr>
          <w:szCs w:val="24"/>
        </w:rPr>
      </w:pPr>
      <w:r w:rsidRPr="00CF4942">
        <w:rPr>
          <w:szCs w:val="24"/>
        </w:rPr>
        <w:t>a case summary.</w:t>
      </w:r>
    </w:p>
    <w:p w14:paraId="12F9589A" w14:textId="77777777" w:rsidR="002743C6" w:rsidRPr="00CF4942" w:rsidRDefault="002743C6" w:rsidP="00DE3101">
      <w:pPr>
        <w:spacing w:before="100" w:beforeAutospacing="1" w:after="100" w:afterAutospacing="1" w:line="360" w:lineRule="auto"/>
        <w:ind w:left="720" w:hanging="360"/>
        <w:jc w:val="both"/>
        <w:rPr>
          <w:szCs w:val="24"/>
        </w:rPr>
      </w:pPr>
      <w:r w:rsidRPr="00CF4942">
        <w:rPr>
          <w:szCs w:val="24"/>
        </w:rPr>
        <w:t xml:space="preserve">e)  The case management conference MUST be vacated by giving direct notice to the Master in the event that no further directions are </w:t>
      </w:r>
      <w:proofErr w:type="gramStart"/>
      <w:r w:rsidRPr="00CF4942">
        <w:rPr>
          <w:szCs w:val="24"/>
        </w:rPr>
        <w:t>required</w:t>
      </w:r>
      <w:proofErr w:type="gramEnd"/>
      <w:r w:rsidRPr="00CF4942">
        <w:rPr>
          <w:szCs w:val="24"/>
        </w:rPr>
        <w:t xml:space="preserve"> and all directions have been complied with or the claim has settled.</w:t>
      </w:r>
    </w:p>
    <w:p w14:paraId="739DBCAD" w14:textId="7CD59EBB" w:rsidR="002743C6" w:rsidRPr="00CF4942" w:rsidRDefault="002743C6" w:rsidP="00DE3101">
      <w:pPr>
        <w:pStyle w:val="ListParagraph"/>
        <w:numPr>
          <w:ilvl w:val="0"/>
          <w:numId w:val="2"/>
        </w:numPr>
        <w:spacing w:before="100" w:beforeAutospacing="1" w:after="100" w:afterAutospacing="1" w:line="360" w:lineRule="auto"/>
        <w:contextualSpacing w:val="0"/>
        <w:jc w:val="both"/>
        <w:rPr>
          <w:szCs w:val="24"/>
        </w:rPr>
      </w:pPr>
      <w:r w:rsidRPr="00CF4942">
        <w:rPr>
          <w:szCs w:val="24"/>
        </w:rPr>
        <w:t xml:space="preserve">Not more than </w:t>
      </w:r>
      <w:r w:rsidRPr="00CF4942">
        <w:rPr>
          <w:b/>
          <w:szCs w:val="24"/>
        </w:rPr>
        <w:t>7 nor less than 3 clear days</w:t>
      </w:r>
      <w:r w:rsidRPr="00CF4942">
        <w:rPr>
          <w:szCs w:val="24"/>
        </w:rPr>
        <w:t xml:space="preserve"> before the trial, the Claimant must file at court and serve an indexed and paginated bundle of documents which complies with the requirements of Rule 39.5 Civil Procedure Rules and Practice Direction 32 paragraph 27.   The parties must endeavour to agree the contents of the bundle before it is filed.  The bundle will include a case summary and a chronology.</w:t>
      </w:r>
    </w:p>
    <w:p w14:paraId="24D54DDB" w14:textId="77777777" w:rsidR="00B1248C" w:rsidRPr="00CF4942" w:rsidRDefault="002743C6" w:rsidP="00DE3101">
      <w:pPr>
        <w:numPr>
          <w:ilvl w:val="0"/>
          <w:numId w:val="2"/>
        </w:numPr>
        <w:spacing w:before="100" w:beforeAutospacing="1" w:after="100" w:afterAutospacing="1" w:line="360" w:lineRule="auto"/>
        <w:jc w:val="both"/>
        <w:rPr>
          <w:szCs w:val="24"/>
        </w:rPr>
      </w:pPr>
      <w:r w:rsidRPr="00CF4942">
        <w:rPr>
          <w:szCs w:val="24"/>
        </w:rPr>
        <w:t>The parties must file with the court and exchange skeleton arguments at least three days before the trial, by email</w:t>
      </w:r>
      <w:r w:rsidR="00B1248C" w:rsidRPr="00CF4942">
        <w:rPr>
          <w:szCs w:val="24"/>
        </w:rPr>
        <w:t>.</w:t>
      </w:r>
    </w:p>
    <w:p w14:paraId="772C00BF" w14:textId="0B2851C3" w:rsidR="002743C6" w:rsidRPr="00CF4942" w:rsidRDefault="002743C6" w:rsidP="00DE3101">
      <w:pPr>
        <w:numPr>
          <w:ilvl w:val="0"/>
          <w:numId w:val="2"/>
        </w:numPr>
        <w:spacing w:before="100" w:beforeAutospacing="1" w:after="100" w:afterAutospacing="1" w:line="360" w:lineRule="auto"/>
        <w:jc w:val="both"/>
        <w:rPr>
          <w:szCs w:val="24"/>
        </w:rPr>
      </w:pPr>
      <w:r w:rsidRPr="00CF4942">
        <w:rPr>
          <w:szCs w:val="24"/>
        </w:rPr>
        <w:t xml:space="preserve">The Parties may, by prior agreement in writing, extend time for a direction in the order dated </w:t>
      </w:r>
      <w:proofErr w:type="spellStart"/>
      <w:r w:rsidRPr="00CF4942">
        <w:rPr>
          <w:szCs w:val="24"/>
        </w:rPr>
        <w:t>xxxxx</w:t>
      </w:r>
      <w:proofErr w:type="spellEnd"/>
      <w:r w:rsidRPr="00CF4942">
        <w:rPr>
          <w:szCs w:val="24"/>
        </w:rPr>
        <w:t xml:space="preserve"> and this order by up to 28 days and without the need to apply to Court. Beyond that 28 day period any agreed extensions of time must be submitted to the Court by e-mail including a brief explanation of the reasons, confirmation that it will not prejudice any hearing date and with the draft consent Order in word format. The Court will then consider whether a formal application and hearing is necessary.</w:t>
      </w:r>
    </w:p>
    <w:p w14:paraId="3F4B357A" w14:textId="5520AA25" w:rsidR="00B1248C" w:rsidRPr="00CF4942" w:rsidRDefault="002743C6" w:rsidP="00DE3101">
      <w:pPr>
        <w:numPr>
          <w:ilvl w:val="0"/>
          <w:numId w:val="2"/>
        </w:numPr>
        <w:spacing w:before="100" w:beforeAutospacing="1" w:after="100" w:afterAutospacing="1" w:line="360" w:lineRule="auto"/>
        <w:jc w:val="both"/>
        <w:rPr>
          <w:szCs w:val="24"/>
        </w:rPr>
      </w:pPr>
      <w:r w:rsidRPr="00CF4942">
        <w:rPr>
          <w:szCs w:val="24"/>
        </w:rPr>
        <w:t>Permission to restore, by emai</w:t>
      </w:r>
      <w:r w:rsidR="00B1248C" w:rsidRPr="00CF4942">
        <w:rPr>
          <w:szCs w:val="24"/>
        </w:rPr>
        <w:t>l.</w:t>
      </w:r>
    </w:p>
    <w:p w14:paraId="2F2A4C7C" w14:textId="05B30172" w:rsidR="002743C6" w:rsidRPr="00CF4942" w:rsidRDefault="002743C6" w:rsidP="00DE3101">
      <w:pPr>
        <w:numPr>
          <w:ilvl w:val="0"/>
          <w:numId w:val="2"/>
        </w:numPr>
        <w:spacing w:before="100" w:beforeAutospacing="1" w:after="100" w:afterAutospacing="1" w:line="360" w:lineRule="auto"/>
        <w:jc w:val="both"/>
        <w:rPr>
          <w:szCs w:val="24"/>
        </w:rPr>
      </w:pPr>
      <w:r w:rsidRPr="00CF4942">
        <w:rPr>
          <w:szCs w:val="24"/>
        </w:rPr>
        <w:t>Costs in the case</w:t>
      </w:r>
    </w:p>
    <w:p w14:paraId="5F2070F2" w14:textId="710E1319" w:rsidR="00556C06" w:rsidRDefault="00330F32" w:rsidP="00DE3101">
      <w:pPr>
        <w:spacing w:before="100" w:beforeAutospacing="1" w:after="100" w:afterAutospacing="1" w:line="360" w:lineRule="auto"/>
        <w:jc w:val="both"/>
        <w:rPr>
          <w:b/>
        </w:rPr>
      </w:pPr>
      <w:r w:rsidRPr="00CF4942">
        <w:rPr>
          <w:szCs w:val="24"/>
        </w:rPr>
        <w:t>Dated [date]</w:t>
      </w:r>
    </w:p>
    <w:p w14:paraId="64754978" w14:textId="77777777" w:rsidR="00556C06" w:rsidRDefault="00556C06" w:rsidP="00DE3101">
      <w:pPr>
        <w:spacing w:before="100" w:beforeAutospacing="1" w:after="100" w:afterAutospacing="1" w:line="360" w:lineRule="auto"/>
        <w:jc w:val="both"/>
      </w:pPr>
    </w:p>
    <w:sectPr w:rsidR="00556C0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15D25A" w14:textId="77777777" w:rsidR="0005308A" w:rsidRDefault="0005308A" w:rsidP="0005308A">
      <w:r>
        <w:separator/>
      </w:r>
    </w:p>
  </w:endnote>
  <w:endnote w:type="continuationSeparator" w:id="0">
    <w:p w14:paraId="464965AF" w14:textId="77777777" w:rsidR="0005308A" w:rsidRDefault="0005308A" w:rsidP="0005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Omega">
    <w:altName w:val="Candara"/>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5F34F" w14:textId="77777777" w:rsidR="0005308A" w:rsidRDefault="00053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62D419" w14:textId="77777777" w:rsidR="0005308A" w:rsidRDefault="0005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7B035" w14:textId="77777777" w:rsidR="0005308A" w:rsidRDefault="00053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9A96DD" w14:textId="77777777" w:rsidR="0005308A" w:rsidRDefault="0005308A" w:rsidP="0005308A">
      <w:r>
        <w:separator/>
      </w:r>
    </w:p>
  </w:footnote>
  <w:footnote w:type="continuationSeparator" w:id="0">
    <w:p w14:paraId="4E8BB066" w14:textId="77777777" w:rsidR="0005308A" w:rsidRDefault="0005308A" w:rsidP="0005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E0967" w14:textId="77777777" w:rsidR="0005308A" w:rsidRDefault="00053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31D59C" w14:textId="564DE816" w:rsidR="001440B9" w:rsidRPr="002C3661" w:rsidRDefault="001440B9" w:rsidP="001440B9">
    <w:pPr>
      <w:pStyle w:val="Header"/>
    </w:pPr>
    <w:r w:rsidRPr="002C3661">
      <w:t>SD clinical negligence RCJ</w:t>
    </w:r>
    <w:r>
      <w:t xml:space="preserve"> version </w:t>
    </w:r>
    <w:r w:rsidR="00DD0F73">
      <w:t xml:space="preserve">January </w:t>
    </w:r>
    <w:r w:rsidR="00DD0F73">
      <w:t>2022</w:t>
    </w:r>
    <w:bookmarkStart w:id="1" w:name="_GoBack"/>
    <w:bookmarkEnd w:id="1"/>
    <w:r w:rsidRPr="002C3661">
      <w:t>.doc</w:t>
    </w:r>
  </w:p>
  <w:p w14:paraId="6084A3D0" w14:textId="42A60F11" w:rsidR="0005308A" w:rsidRDefault="0005308A">
    <w:pPr>
      <w:pStyle w:val="Header"/>
    </w:pPr>
  </w:p>
  <w:p w14:paraId="77FA71EE" w14:textId="77777777" w:rsidR="0005308A" w:rsidRDefault="000530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741779" w14:textId="77777777" w:rsidR="0005308A" w:rsidRDefault="000530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05028"/>
    <w:multiLevelType w:val="multilevel"/>
    <w:tmpl w:val="2DB626CC"/>
    <w:lvl w:ilvl="0">
      <w:start w:val="1"/>
      <w:numFmt w:val="decimal"/>
      <w:lvlText w:val="%1)"/>
      <w:lvlJc w:val="left"/>
      <w:pPr>
        <w:tabs>
          <w:tab w:val="num" w:pos="432"/>
        </w:tabs>
        <w:ind w:left="432" w:hanging="432"/>
      </w:pPr>
      <w:rPr>
        <w:rFonts w:hint="default"/>
        <w:b w:val="0"/>
      </w:rPr>
    </w:lvl>
    <w:lvl w:ilvl="1">
      <w:start w:val="1"/>
      <w:numFmt w:val="lowerLetter"/>
      <w:lvlText w:val="%2)"/>
      <w:lvlJc w:val="left"/>
      <w:pPr>
        <w:tabs>
          <w:tab w:val="num" w:pos="720"/>
        </w:tabs>
        <w:ind w:left="720" w:hanging="288"/>
      </w:pPr>
      <w:rPr>
        <w:rFonts w:hint="default"/>
      </w:rPr>
    </w:lvl>
    <w:lvl w:ilvl="2">
      <w:start w:val="1"/>
      <w:numFmt w:val="lowerRoman"/>
      <w:lvlText w:val="%3)"/>
      <w:lvlJc w:val="left"/>
      <w:pPr>
        <w:tabs>
          <w:tab w:val="num" w:pos="1296"/>
        </w:tabs>
        <w:ind w:left="1296" w:hanging="576"/>
      </w:pPr>
      <w:rPr>
        <w:rFonts w:hint="default"/>
      </w:rPr>
    </w:lvl>
    <w:lvl w:ilvl="3">
      <w:start w:val="1"/>
      <w:numFmt w:val="decimal"/>
      <w:lvlText w:val="%4)"/>
      <w:lvlJc w:val="left"/>
      <w:pPr>
        <w:tabs>
          <w:tab w:val="num" w:pos="1296"/>
        </w:tabs>
        <w:ind w:left="1296" w:hanging="28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C261524"/>
    <w:multiLevelType w:val="multilevel"/>
    <w:tmpl w:val="AE684F22"/>
    <w:lvl w:ilvl="0">
      <w:start w:val="14"/>
      <w:numFmt w:val="decimal"/>
      <w:lvlText w:val="%1)"/>
      <w:lvlJc w:val="left"/>
      <w:pPr>
        <w:tabs>
          <w:tab w:val="num" w:pos="432"/>
        </w:tabs>
        <w:ind w:left="432" w:hanging="432"/>
      </w:pPr>
      <w:rPr>
        <w:rFonts w:hint="default"/>
        <w:b w:val="0"/>
      </w:rPr>
    </w:lvl>
    <w:lvl w:ilvl="1">
      <w:start w:val="1"/>
      <w:numFmt w:val="lowerLetter"/>
      <w:lvlText w:val="%2)"/>
      <w:lvlJc w:val="left"/>
      <w:pPr>
        <w:tabs>
          <w:tab w:val="num" w:pos="720"/>
        </w:tabs>
        <w:ind w:left="720" w:hanging="288"/>
      </w:pPr>
      <w:rPr>
        <w:rFonts w:hint="default"/>
      </w:rPr>
    </w:lvl>
    <w:lvl w:ilvl="2">
      <w:start w:val="1"/>
      <w:numFmt w:val="lowerRoman"/>
      <w:lvlText w:val="%3)"/>
      <w:lvlJc w:val="left"/>
      <w:pPr>
        <w:tabs>
          <w:tab w:val="num" w:pos="1296"/>
        </w:tabs>
        <w:ind w:left="1296" w:hanging="576"/>
      </w:pPr>
      <w:rPr>
        <w:rFonts w:hint="default"/>
      </w:rPr>
    </w:lvl>
    <w:lvl w:ilvl="3">
      <w:start w:val="1"/>
      <w:numFmt w:val="decimal"/>
      <w:lvlText w:val="%4)"/>
      <w:lvlJc w:val="left"/>
      <w:pPr>
        <w:tabs>
          <w:tab w:val="num" w:pos="1296"/>
        </w:tabs>
        <w:ind w:left="1296" w:hanging="28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2" w15:restartNumberingAfterBreak="0">
    <w:nsid w:val="21D52658"/>
    <w:multiLevelType w:val="hybridMultilevel"/>
    <w:tmpl w:val="0C743228"/>
    <w:lvl w:ilvl="0" w:tplc="FFFFFFFF">
      <w:start w:val="1"/>
      <w:numFmt w:val="decimal"/>
      <w:lvlText w:val="%1."/>
      <w:lvlJc w:val="left"/>
      <w:pPr>
        <w:ind w:left="720" w:hanging="360"/>
      </w:pPr>
      <w:rPr>
        <w:rFonts w:ascii="Arial" w:hAnsi="Arial" w:cs="Arial" w:hint="default"/>
        <w:sz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74D6416"/>
    <w:multiLevelType w:val="hybridMultilevel"/>
    <w:tmpl w:val="9A2E5ADA"/>
    <w:lvl w:ilvl="0" w:tplc="C2720592">
      <w:start w:val="1"/>
      <w:numFmt w:val="decimal"/>
      <w:lvlText w:val="%1."/>
      <w:lvlJc w:val="left"/>
      <w:pPr>
        <w:ind w:left="720" w:hanging="360"/>
      </w:pPr>
      <w:rPr>
        <w:rFonts w:ascii="Times New Roman" w:hAnsi="Times New Roman" w:cs="Arial"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153DE7"/>
    <w:multiLevelType w:val="multilevel"/>
    <w:tmpl w:val="D2A0C4FA"/>
    <w:lvl w:ilvl="0">
      <w:start w:val="22"/>
      <w:numFmt w:val="decimal"/>
      <w:lvlText w:val="%1)"/>
      <w:lvlJc w:val="left"/>
      <w:pPr>
        <w:tabs>
          <w:tab w:val="num" w:pos="432"/>
        </w:tabs>
        <w:ind w:left="432" w:hanging="432"/>
      </w:pPr>
      <w:rPr>
        <w:rFonts w:hint="default"/>
        <w:b w:val="0"/>
      </w:rPr>
    </w:lvl>
    <w:lvl w:ilvl="1">
      <w:start w:val="1"/>
      <w:numFmt w:val="lowerLetter"/>
      <w:lvlText w:val="%2)"/>
      <w:lvlJc w:val="left"/>
      <w:pPr>
        <w:tabs>
          <w:tab w:val="num" w:pos="720"/>
        </w:tabs>
        <w:ind w:left="720" w:hanging="288"/>
      </w:pPr>
      <w:rPr>
        <w:rFonts w:hint="default"/>
      </w:rPr>
    </w:lvl>
    <w:lvl w:ilvl="2">
      <w:start w:val="1"/>
      <w:numFmt w:val="lowerRoman"/>
      <w:lvlText w:val="%3)"/>
      <w:lvlJc w:val="left"/>
      <w:pPr>
        <w:tabs>
          <w:tab w:val="num" w:pos="1296"/>
        </w:tabs>
        <w:ind w:left="1296" w:hanging="576"/>
      </w:pPr>
      <w:rPr>
        <w:rFonts w:hint="default"/>
      </w:rPr>
    </w:lvl>
    <w:lvl w:ilvl="3">
      <w:start w:val="1"/>
      <w:numFmt w:val="decimal"/>
      <w:lvlText w:val="%4)"/>
      <w:lvlJc w:val="left"/>
      <w:pPr>
        <w:tabs>
          <w:tab w:val="num" w:pos="1296"/>
        </w:tabs>
        <w:ind w:left="1296" w:hanging="28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57094F6A"/>
    <w:multiLevelType w:val="multilevel"/>
    <w:tmpl w:val="C25E096C"/>
    <w:lvl w:ilvl="0">
      <w:start w:val="21"/>
      <w:numFmt w:val="decimal"/>
      <w:lvlText w:val="%1)"/>
      <w:lvlJc w:val="left"/>
      <w:pPr>
        <w:tabs>
          <w:tab w:val="num" w:pos="432"/>
        </w:tabs>
        <w:ind w:left="432" w:hanging="432"/>
      </w:pPr>
      <w:rPr>
        <w:rFonts w:hint="default"/>
        <w:b w:val="0"/>
      </w:rPr>
    </w:lvl>
    <w:lvl w:ilvl="1">
      <w:start w:val="1"/>
      <w:numFmt w:val="lowerLetter"/>
      <w:lvlText w:val="%2)"/>
      <w:lvlJc w:val="left"/>
      <w:pPr>
        <w:tabs>
          <w:tab w:val="num" w:pos="720"/>
        </w:tabs>
        <w:ind w:left="720" w:hanging="288"/>
      </w:pPr>
      <w:rPr>
        <w:rFonts w:hint="default"/>
      </w:rPr>
    </w:lvl>
    <w:lvl w:ilvl="2">
      <w:start w:val="1"/>
      <w:numFmt w:val="lowerRoman"/>
      <w:lvlText w:val="%3)"/>
      <w:lvlJc w:val="left"/>
      <w:pPr>
        <w:tabs>
          <w:tab w:val="num" w:pos="1296"/>
        </w:tabs>
        <w:ind w:left="1296" w:hanging="576"/>
      </w:pPr>
      <w:rPr>
        <w:rFonts w:hint="default"/>
      </w:rPr>
    </w:lvl>
    <w:lvl w:ilvl="3">
      <w:start w:val="1"/>
      <w:numFmt w:val="decimal"/>
      <w:lvlText w:val="%4)"/>
      <w:lvlJc w:val="left"/>
      <w:pPr>
        <w:tabs>
          <w:tab w:val="num" w:pos="1296"/>
        </w:tabs>
        <w:ind w:left="1296" w:hanging="28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6" w15:restartNumberingAfterBreak="0">
    <w:nsid w:val="6D151650"/>
    <w:multiLevelType w:val="multilevel"/>
    <w:tmpl w:val="2DB626CC"/>
    <w:lvl w:ilvl="0">
      <w:start w:val="1"/>
      <w:numFmt w:val="decimal"/>
      <w:lvlText w:val="%1)"/>
      <w:lvlJc w:val="left"/>
      <w:pPr>
        <w:tabs>
          <w:tab w:val="num" w:pos="432"/>
        </w:tabs>
        <w:ind w:left="432" w:hanging="432"/>
      </w:pPr>
      <w:rPr>
        <w:rFonts w:hint="default"/>
        <w:b w:val="0"/>
      </w:rPr>
    </w:lvl>
    <w:lvl w:ilvl="1">
      <w:start w:val="1"/>
      <w:numFmt w:val="lowerLetter"/>
      <w:lvlText w:val="%2)"/>
      <w:lvlJc w:val="left"/>
      <w:pPr>
        <w:tabs>
          <w:tab w:val="num" w:pos="720"/>
        </w:tabs>
        <w:ind w:left="720" w:hanging="288"/>
      </w:pPr>
      <w:rPr>
        <w:rFonts w:hint="default"/>
      </w:rPr>
    </w:lvl>
    <w:lvl w:ilvl="2">
      <w:start w:val="1"/>
      <w:numFmt w:val="lowerRoman"/>
      <w:lvlText w:val="%3)"/>
      <w:lvlJc w:val="left"/>
      <w:pPr>
        <w:tabs>
          <w:tab w:val="num" w:pos="1296"/>
        </w:tabs>
        <w:ind w:left="1296" w:hanging="576"/>
      </w:pPr>
      <w:rPr>
        <w:rFonts w:hint="default"/>
      </w:rPr>
    </w:lvl>
    <w:lvl w:ilvl="3">
      <w:start w:val="1"/>
      <w:numFmt w:val="decimal"/>
      <w:lvlText w:val="%4)"/>
      <w:lvlJc w:val="left"/>
      <w:pPr>
        <w:tabs>
          <w:tab w:val="num" w:pos="1296"/>
        </w:tabs>
        <w:ind w:left="1296" w:hanging="28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7" w15:restartNumberingAfterBreak="0">
    <w:nsid w:val="748C7A94"/>
    <w:multiLevelType w:val="multilevel"/>
    <w:tmpl w:val="19F096BA"/>
    <w:lvl w:ilvl="0">
      <w:start w:val="8"/>
      <w:numFmt w:val="decimal"/>
      <w:lvlText w:val="%1)"/>
      <w:lvlJc w:val="left"/>
      <w:pPr>
        <w:tabs>
          <w:tab w:val="num" w:pos="432"/>
        </w:tabs>
        <w:ind w:left="432" w:hanging="432"/>
      </w:pPr>
      <w:rPr>
        <w:rFonts w:hint="default"/>
        <w:b w:val="0"/>
      </w:rPr>
    </w:lvl>
    <w:lvl w:ilvl="1">
      <w:start w:val="1"/>
      <w:numFmt w:val="lowerLetter"/>
      <w:lvlText w:val="%2)"/>
      <w:lvlJc w:val="left"/>
      <w:pPr>
        <w:tabs>
          <w:tab w:val="num" w:pos="720"/>
        </w:tabs>
        <w:ind w:left="720" w:hanging="288"/>
      </w:pPr>
      <w:rPr>
        <w:rFonts w:hint="default"/>
      </w:rPr>
    </w:lvl>
    <w:lvl w:ilvl="2">
      <w:start w:val="1"/>
      <w:numFmt w:val="lowerRoman"/>
      <w:lvlText w:val="%3)"/>
      <w:lvlJc w:val="left"/>
      <w:pPr>
        <w:tabs>
          <w:tab w:val="num" w:pos="1296"/>
        </w:tabs>
        <w:ind w:left="1296" w:hanging="576"/>
      </w:pPr>
      <w:rPr>
        <w:rFonts w:hint="default"/>
      </w:rPr>
    </w:lvl>
    <w:lvl w:ilvl="3">
      <w:start w:val="1"/>
      <w:numFmt w:val="decimal"/>
      <w:lvlText w:val="%4)"/>
      <w:lvlJc w:val="left"/>
      <w:pPr>
        <w:tabs>
          <w:tab w:val="num" w:pos="1296"/>
        </w:tabs>
        <w:ind w:left="1296" w:hanging="28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abstractNumId w:val="0"/>
  </w:num>
  <w:num w:numId="2">
    <w:abstractNumId w:val="3"/>
  </w:num>
  <w:num w:numId="3">
    <w:abstractNumId w:val="6"/>
  </w:num>
  <w:num w:numId="4">
    <w:abstractNumId w:val="7"/>
  </w:num>
  <w:num w:numId="5">
    <w:abstractNumId w:val="2"/>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C06"/>
    <w:rsid w:val="0005308A"/>
    <w:rsid w:val="00143BF4"/>
    <w:rsid w:val="001440B9"/>
    <w:rsid w:val="00185415"/>
    <w:rsid w:val="001951A2"/>
    <w:rsid w:val="002743C6"/>
    <w:rsid w:val="002A4E23"/>
    <w:rsid w:val="002E7C7E"/>
    <w:rsid w:val="00307BE0"/>
    <w:rsid w:val="00325ABA"/>
    <w:rsid w:val="00330F32"/>
    <w:rsid w:val="0034180C"/>
    <w:rsid w:val="00556C06"/>
    <w:rsid w:val="00737DB6"/>
    <w:rsid w:val="008201EF"/>
    <w:rsid w:val="00937BCB"/>
    <w:rsid w:val="009822B3"/>
    <w:rsid w:val="00A31C95"/>
    <w:rsid w:val="00A526C7"/>
    <w:rsid w:val="00B11024"/>
    <w:rsid w:val="00B1248C"/>
    <w:rsid w:val="00B54E02"/>
    <w:rsid w:val="00C31C6A"/>
    <w:rsid w:val="00CF4942"/>
    <w:rsid w:val="00D84FA1"/>
    <w:rsid w:val="00DB61A8"/>
    <w:rsid w:val="00DD0F73"/>
    <w:rsid w:val="00DE3101"/>
    <w:rsid w:val="00F11BC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B37DEB"/>
  <w15:chartTrackingRefBased/>
  <w15:docId w15:val="{373FD0ED-2B48-4DEF-BC3D-D94436FE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C06"/>
    <w:pPr>
      <w:spacing w:after="0" w:line="240" w:lineRule="auto"/>
    </w:pPr>
    <w:rPr>
      <w:rFonts w:ascii="Times New Roman" w:eastAsia="Times New Roman" w:hAnsi="Times New Roman" w:cs="Times New Roman"/>
      <w:sz w:val="24"/>
      <w:szCs w:val="20"/>
      <w:lang w:eastAsia="en-GB"/>
    </w:rPr>
  </w:style>
  <w:style w:type="paragraph" w:styleId="Heading6">
    <w:name w:val="heading 6"/>
    <w:basedOn w:val="Normal"/>
    <w:next w:val="Normal"/>
    <w:link w:val="Heading6Char"/>
    <w:qFormat/>
    <w:rsid w:val="00A31C95"/>
    <w:pPr>
      <w:keepNext/>
      <w:tabs>
        <w:tab w:val="num" w:pos="714"/>
      </w:tabs>
      <w:spacing w:line="480" w:lineRule="auto"/>
      <w:jc w:val="both"/>
      <w:outlineLvl w:val="5"/>
    </w:pPr>
    <w:rPr>
      <w:rFonts w:ascii="CG Omega" w:hAnsi="CG Omega" w:cs="Arial"/>
      <w:b/>
      <w:bCs/>
      <w:szCs w:val="22"/>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Main">
    <w:name w:val="CoverMain"/>
    <w:basedOn w:val="Normal"/>
    <w:uiPriority w:val="99"/>
    <w:rsid w:val="00556C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pPr>
    <w:rPr>
      <w:b/>
      <w:spacing w:val="-3"/>
      <w:u w:val="single"/>
      <w:lang w:eastAsia="en-US"/>
    </w:rPr>
  </w:style>
  <w:style w:type="character" w:customStyle="1" w:styleId="ct-content">
    <w:name w:val="ct-content"/>
    <w:basedOn w:val="DefaultParagraphFont"/>
    <w:uiPriority w:val="99"/>
    <w:rsid w:val="00556C06"/>
    <w:rPr>
      <w:rFonts w:ascii="Times New Roman" w:hAnsi="Times New Roman" w:cs="Times New Roman" w:hint="default"/>
    </w:rPr>
  </w:style>
  <w:style w:type="paragraph" w:styleId="ListParagraph">
    <w:name w:val="List Paragraph"/>
    <w:basedOn w:val="Normal"/>
    <w:uiPriority w:val="34"/>
    <w:qFormat/>
    <w:rsid w:val="00937BCB"/>
    <w:pPr>
      <w:ind w:left="720"/>
      <w:contextualSpacing/>
    </w:pPr>
  </w:style>
  <w:style w:type="paragraph" w:styleId="DocumentMap">
    <w:name w:val="Document Map"/>
    <w:basedOn w:val="Normal"/>
    <w:link w:val="DocumentMapChar"/>
    <w:semiHidden/>
    <w:rsid w:val="00937BCB"/>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937BCB"/>
    <w:rPr>
      <w:rFonts w:ascii="Tahoma" w:eastAsia="Times New Roman" w:hAnsi="Tahoma" w:cs="Tahoma"/>
      <w:sz w:val="20"/>
      <w:szCs w:val="20"/>
      <w:shd w:val="clear" w:color="auto" w:fill="000080"/>
      <w:lang w:eastAsia="en-GB"/>
    </w:rPr>
  </w:style>
  <w:style w:type="character" w:styleId="Hyperlink">
    <w:name w:val="Hyperlink"/>
    <w:rsid w:val="00F11BC7"/>
    <w:rPr>
      <w:color w:val="0000FF"/>
      <w:u w:val="single"/>
    </w:rPr>
  </w:style>
  <w:style w:type="paragraph" w:customStyle="1" w:styleId="junormal">
    <w:name w:val="junormal"/>
    <w:basedOn w:val="Normal"/>
    <w:rsid w:val="00DB61A8"/>
    <w:rPr>
      <w:sz w:val="28"/>
      <w:szCs w:val="28"/>
      <w:lang w:eastAsia="en-US"/>
    </w:rPr>
  </w:style>
  <w:style w:type="character" w:customStyle="1" w:styleId="Heading6Char">
    <w:name w:val="Heading 6 Char"/>
    <w:basedOn w:val="DefaultParagraphFont"/>
    <w:link w:val="Heading6"/>
    <w:rsid w:val="00A31C95"/>
    <w:rPr>
      <w:rFonts w:ascii="CG Omega" w:eastAsia="Times New Roman" w:hAnsi="CG Omega" w:cs="Arial"/>
      <w:b/>
      <w:bCs/>
      <w:sz w:val="24"/>
      <w:u w:val="single"/>
    </w:rPr>
  </w:style>
  <w:style w:type="paragraph" w:styleId="BodyText2">
    <w:name w:val="Body Text 2"/>
    <w:basedOn w:val="Normal"/>
    <w:link w:val="BodyText2Char"/>
    <w:semiHidden/>
    <w:rsid w:val="009822B3"/>
    <w:pPr>
      <w:tabs>
        <w:tab w:val="left" w:pos="360"/>
        <w:tab w:val="left" w:pos="900"/>
      </w:tabs>
    </w:pPr>
    <w:rPr>
      <w:rFonts w:ascii="Garamond" w:hAnsi="Garamond"/>
      <w:sz w:val="32"/>
      <w:szCs w:val="32"/>
      <w:lang w:eastAsia="en-US"/>
    </w:rPr>
  </w:style>
  <w:style w:type="character" w:customStyle="1" w:styleId="BodyText2Char">
    <w:name w:val="Body Text 2 Char"/>
    <w:basedOn w:val="DefaultParagraphFont"/>
    <w:link w:val="BodyText2"/>
    <w:semiHidden/>
    <w:rsid w:val="009822B3"/>
    <w:rPr>
      <w:rFonts w:ascii="Garamond" w:eastAsia="Times New Roman" w:hAnsi="Garamond" w:cs="Times New Roman"/>
      <w:sz w:val="32"/>
      <w:szCs w:val="32"/>
    </w:rPr>
  </w:style>
  <w:style w:type="paragraph" w:styleId="Revision">
    <w:name w:val="Revision"/>
    <w:hidden/>
    <w:uiPriority w:val="99"/>
    <w:semiHidden/>
    <w:rsid w:val="002E7C7E"/>
    <w:pPr>
      <w:spacing w:after="0" w:line="240" w:lineRule="auto"/>
    </w:pPr>
    <w:rPr>
      <w:rFonts w:ascii="Times New Roman" w:eastAsia="Times New Roman" w:hAnsi="Times New Roman" w:cs="Times New Roman"/>
      <w:sz w:val="24"/>
      <w:szCs w:val="20"/>
      <w:lang w:eastAsia="en-GB"/>
    </w:rPr>
  </w:style>
  <w:style w:type="paragraph" w:styleId="Header">
    <w:name w:val="header"/>
    <w:basedOn w:val="Normal"/>
    <w:link w:val="HeaderChar"/>
    <w:unhideWhenUsed/>
    <w:rsid w:val="0005308A"/>
    <w:pPr>
      <w:tabs>
        <w:tab w:val="center" w:pos="4513"/>
        <w:tab w:val="right" w:pos="9026"/>
      </w:tabs>
    </w:pPr>
  </w:style>
  <w:style w:type="character" w:customStyle="1" w:styleId="HeaderChar">
    <w:name w:val="Header Char"/>
    <w:basedOn w:val="DefaultParagraphFont"/>
    <w:link w:val="Header"/>
    <w:rsid w:val="0005308A"/>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05308A"/>
    <w:pPr>
      <w:tabs>
        <w:tab w:val="center" w:pos="4513"/>
        <w:tab w:val="right" w:pos="9026"/>
      </w:tabs>
    </w:pPr>
  </w:style>
  <w:style w:type="character" w:customStyle="1" w:styleId="FooterChar">
    <w:name w:val="Footer Char"/>
    <w:basedOn w:val="DefaultParagraphFont"/>
    <w:link w:val="Footer"/>
    <w:uiPriority w:val="99"/>
    <w:rsid w:val="0005308A"/>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2165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5A923EEE8C846B5AF10E45AA0BD26" ma:contentTypeVersion="13" ma:contentTypeDescription="Create a new document." ma:contentTypeScope="" ma:versionID="5198de66c3e6c58321ccb88d8b0110ac">
  <xsd:schema xmlns:xsd="http://www.w3.org/2001/XMLSchema" xmlns:xs="http://www.w3.org/2001/XMLSchema" xmlns:p="http://schemas.microsoft.com/office/2006/metadata/properties" xmlns:ns3="e89d63d0-84ce-4263-8bd8-a40cd5cec291" xmlns:ns4="b154f347-c41a-4d44-aac5-958693020234" targetNamespace="http://schemas.microsoft.com/office/2006/metadata/properties" ma:root="true" ma:fieldsID="0d70f78379a59385c989b17f9a95e437" ns3:_="" ns4:_="">
    <xsd:import namespace="e89d63d0-84ce-4263-8bd8-a40cd5cec291"/>
    <xsd:import namespace="b154f347-c41a-4d44-aac5-9586930202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9d63d0-84ce-4263-8bd8-a40cd5cec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54f347-c41a-4d44-aac5-95869302023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B2CCC9-CF00-455A-86CB-9DD53FFFD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9d63d0-84ce-4263-8bd8-a40cd5cec291"/>
    <ds:schemaRef ds:uri="b154f347-c41a-4d44-aac5-958693020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39DD05-1CBF-4A4A-A025-4577F11028AD}">
  <ds:schemaRefs>
    <ds:schemaRef ds:uri="http://schemas.microsoft.com/sharepoint/v3/contenttype/forms"/>
  </ds:schemaRefs>
</ds:datastoreItem>
</file>

<file path=customXml/itemProps3.xml><?xml version="1.0" encoding="utf-8"?>
<ds:datastoreItem xmlns:ds="http://schemas.openxmlformats.org/officeDocument/2006/customXml" ds:itemID="{5410E65A-AF35-420F-9108-B8C0A9B0238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1864</Words>
  <Characters>10631</Characters>
  <Application>Microsoft Office Word</Application>
  <DocSecurity>4</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Sullivan, Master</dc:creator>
  <cp:keywords/>
  <dc:description/>
  <cp:lastModifiedBy>Poole, Carl</cp:lastModifiedBy>
  <cp:revision>2</cp:revision>
  <dcterms:created xsi:type="dcterms:W3CDTF">2022-02-09T17:07:00Z</dcterms:created>
  <dcterms:modified xsi:type="dcterms:W3CDTF">2022-02-09T17:07:00Z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0x010100BEC5A923EEE8C846B5AF10E45AA0BD26</vt:lpwstr>
  </property>
</Properties>
</file>